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jc w:val="center"/>
        <w:rPr>
          <w:rFonts w:hint="eastAsia" w:ascii="方正小标宋简体" w:hAnsi="方正小标宋_GBK" w:eastAsia="方正小标宋简体" w:cs="方正小标宋_GBK"/>
          <w:sz w:val="44"/>
          <w:szCs w:val="44"/>
        </w:rPr>
      </w:pPr>
    </w:p>
    <w:p>
      <w:pPr>
        <w:pStyle w:val="5"/>
        <w:spacing w:line="360" w:lineRule="auto"/>
        <w:jc w:val="center"/>
        <w:rPr>
          <w:rFonts w:hint="eastAsia" w:ascii="等线" w:hAnsi="等线" w:eastAsia="方正小标宋简体" w:cs="方正小标宋_GBK"/>
          <w:sz w:val="44"/>
          <w:szCs w:val="44"/>
        </w:rPr>
      </w:pPr>
      <w:bookmarkStart w:id="1" w:name="_GoBack"/>
      <w:r>
        <w:rPr>
          <w:rFonts w:hint="eastAsia" w:ascii="方正小标宋简体" w:hAnsi="方正小标宋_GBK" w:eastAsia="方正小标宋简体" w:cs="方正小标宋_GBK"/>
          <w:sz w:val="44"/>
          <w:szCs w:val="44"/>
        </w:rPr>
        <w:t>河南省科协2024年</w:t>
      </w:r>
      <w:r>
        <w:rPr>
          <w:rFonts w:hint="eastAsia" w:ascii="等线" w:hAnsi="等线" w:eastAsia="方正小标宋简体" w:cs="方正小标宋_GBK"/>
          <w:sz w:val="44"/>
          <w:szCs w:val="44"/>
        </w:rPr>
        <w:t>重点工作</w:t>
      </w:r>
      <w:bookmarkEnd w:id="1"/>
    </w:p>
    <w:p>
      <w:pPr>
        <w:pStyle w:val="10"/>
        <w:snapToGrid w:val="0"/>
        <w:ind w:firstLine="320"/>
        <w:rPr>
          <w:rFonts w:hint="eastAsia" w:ascii="仿宋_GB2312" w:hAnsi="仿宋_GB2312" w:eastAsia="仿宋_GB2312" w:cs="仿宋_GB2312"/>
          <w:sz w:val="32"/>
          <w:szCs w:val="32"/>
          <w:lang w:val="en"/>
        </w:rPr>
      </w:pPr>
    </w:p>
    <w:p>
      <w:pPr>
        <w:pStyle w:val="5"/>
        <w:spacing w:line="360" w:lineRule="auto"/>
        <w:ind w:firstLine="640" w:firstLineChars="200"/>
        <w:rPr>
          <w:rFonts w:hint="eastAsia" w:ascii="仿宋_GB2312" w:hAnsi="仿宋_GB2312" w:eastAsia="仿宋_GB2312" w:cs="仿宋_GB2312"/>
          <w:sz w:val="32"/>
          <w:szCs w:val="32"/>
        </w:rPr>
      </w:pPr>
      <w:bookmarkStart w:id="0" w:name="_Hlk159080385"/>
      <w:r>
        <w:rPr>
          <w:rFonts w:hint="eastAsia" w:ascii="黑体" w:hAnsi="黑体" w:eastAsia="黑体" w:cs="黑体"/>
          <w:sz w:val="32"/>
          <w:szCs w:val="32"/>
        </w:rPr>
        <w:t>1.筹备召开河南省科协第十次代表大会。</w:t>
      </w:r>
      <w:r>
        <w:rPr>
          <w:rFonts w:hint="eastAsia" w:ascii="仿宋_GB2312" w:hAnsi="方正楷体_GBK" w:eastAsia="仿宋_GB2312" w:cs="方正楷体_GBK"/>
          <w:sz w:val="32"/>
          <w:szCs w:val="32"/>
        </w:rPr>
        <w:t>（责任部门：办公室、组织人事部，机关各部室、各直属事业单位，各全省学会，各省辖市和济源示范区科协，各高校科协、企业科协、医疗卫生机构科协）</w:t>
      </w:r>
    </w:p>
    <w:p>
      <w:pPr>
        <w:overflowPunct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2.全面建成省科技馆新馆并正式运行。</w:t>
      </w:r>
      <w:r>
        <w:rPr>
          <w:rFonts w:hint="eastAsia" w:ascii="仿宋_GB2312" w:hAnsi="仿宋_GB2312" w:eastAsia="仿宋_GB2312" w:cs="仿宋_GB2312"/>
          <w:sz w:val="32"/>
          <w:szCs w:val="32"/>
        </w:rPr>
        <w:t>（责任部门：省科技馆、机关各部室）</w:t>
      </w:r>
    </w:p>
    <w:p>
      <w:pPr>
        <w:overflowPunct w:val="0"/>
        <w:adjustRightInd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3.持续深化“省会合作”。</w:t>
      </w:r>
      <w:r>
        <w:rPr>
          <w:rFonts w:hint="eastAsia" w:ascii="仿宋_GB2312" w:hAnsi="仿宋_GB2312" w:eastAsia="仿宋_GB2312" w:cs="仿宋_GB2312"/>
          <w:sz w:val="32"/>
          <w:szCs w:val="32"/>
        </w:rPr>
        <w:t>（责任部门：办公室</w:t>
      </w:r>
      <w:r>
        <w:rPr>
          <w:rFonts w:hint="eastAsia" w:ascii="仿宋_GB2312" w:hAnsi="仿宋_GB2312" w:eastAsia="仿宋_GB2312" w:cs="仿宋_GB2312"/>
          <w:bCs/>
          <w:sz w:val="32"/>
          <w:szCs w:val="32"/>
          <w:lang w:eastAsia="zh-CN"/>
        </w:rPr>
        <w:t>、人才发展中心</w:t>
      </w:r>
      <w:r>
        <w:rPr>
          <w:rFonts w:hint="eastAsia" w:ascii="仿宋_GB2312" w:hAnsi="仿宋_GB2312" w:eastAsia="仿宋_GB2312" w:cs="仿宋_GB2312"/>
          <w:sz w:val="32"/>
          <w:szCs w:val="32"/>
        </w:rPr>
        <w:t>，机关各部室、各直属事业单位，</w:t>
      </w:r>
      <w:r>
        <w:rPr>
          <w:rFonts w:hint="eastAsia" w:ascii="仿宋_GB2312" w:hAnsi="方正楷体_GBK" w:eastAsia="仿宋_GB2312" w:cs="方正楷体_GBK"/>
          <w:sz w:val="32"/>
          <w:szCs w:val="32"/>
        </w:rPr>
        <w:t>各全省学会，各省辖市和济源示范区科协，各高校科协、企业科协、医疗卫生机构科协</w:t>
      </w:r>
      <w:r>
        <w:rPr>
          <w:rFonts w:hint="eastAsia" w:ascii="仿宋_GB2312" w:hAnsi="仿宋_GB2312" w:eastAsia="仿宋_GB2312" w:cs="仿宋_GB2312"/>
          <w:sz w:val="32"/>
          <w:szCs w:val="32"/>
        </w:rPr>
        <w:t>）</w:t>
      </w:r>
    </w:p>
    <w:p>
      <w:pPr>
        <w:pStyle w:val="2"/>
        <w:overflowPunct w:val="0"/>
        <w:spacing w:before="0" w:beforeAutospacing="0" w:after="0"/>
        <w:ind w:firstLine="640" w:firstLineChars="200"/>
        <w:rPr>
          <w:rFonts w:hint="eastAsia" w:ascii="仿宋_GB2312" w:eastAsia="仿宋_GB2312"/>
          <w:sz w:val="32"/>
          <w:szCs w:val="32"/>
        </w:rPr>
      </w:pPr>
      <w:r>
        <w:rPr>
          <w:rFonts w:hint="eastAsia" w:ascii="黑体" w:hAnsi="黑体" w:eastAsia="黑体" w:cs="黑体"/>
          <w:bCs w:val="0"/>
          <w:sz w:val="32"/>
          <w:szCs w:val="32"/>
        </w:rPr>
        <w:t>4.落实落细“省院合作”。</w:t>
      </w:r>
      <w:r>
        <w:rPr>
          <w:rFonts w:hint="eastAsia" w:ascii="仿宋_GB2312" w:hAnsi="仿宋_GB2312" w:eastAsia="仿宋_GB2312" w:cs="仿宋_GB2312"/>
          <w:bCs w:val="0"/>
          <w:sz w:val="32"/>
          <w:szCs w:val="32"/>
        </w:rPr>
        <w:t>（责任部门：组织人事部</w:t>
      </w:r>
      <w:r>
        <w:rPr>
          <w:rFonts w:hint="eastAsia" w:ascii="仿宋_GB2312" w:hAnsi="仿宋_GB2312" w:eastAsia="仿宋_GB2312" w:cs="仿宋_GB2312"/>
          <w:bCs/>
          <w:sz w:val="32"/>
          <w:szCs w:val="32"/>
          <w:lang w:eastAsia="zh-CN"/>
        </w:rPr>
        <w:t>、人才发展中心</w:t>
      </w:r>
      <w:r>
        <w:rPr>
          <w:rFonts w:hint="eastAsia" w:ascii="仿宋_GB2312" w:hAnsi="仿宋_GB2312" w:eastAsia="仿宋_GB2312" w:cs="仿宋_GB2312"/>
          <w:bCs w:val="0"/>
          <w:sz w:val="32"/>
          <w:szCs w:val="32"/>
        </w:rPr>
        <w:t>，机关各部室、各直属事业单位，</w:t>
      </w:r>
      <w:r>
        <w:rPr>
          <w:rFonts w:hint="eastAsia" w:ascii="仿宋_GB2312" w:hAnsi="方正楷体_GBK" w:eastAsia="仿宋_GB2312" w:cs="方正楷体_GBK"/>
          <w:sz w:val="32"/>
          <w:szCs w:val="32"/>
        </w:rPr>
        <w:t>各全省学会，各省辖市和济源示范区科协，各高校科协、企业科协、医疗卫生机构科协</w:t>
      </w:r>
      <w:r>
        <w:rPr>
          <w:rFonts w:hint="eastAsia" w:ascii="仿宋_GB2312" w:hAnsi="仿宋_GB2312" w:eastAsia="仿宋_GB2312" w:cs="仿宋_GB2312"/>
          <w:bCs w:val="0"/>
          <w:sz w:val="32"/>
          <w:szCs w:val="32"/>
        </w:rPr>
        <w:t>）</w:t>
      </w:r>
    </w:p>
    <w:p>
      <w:pPr>
        <w:overflowPunct w:val="0"/>
        <w:ind w:firstLine="640" w:firstLineChars="200"/>
        <w:rPr>
          <w:rFonts w:hint="eastAsia" w:ascii="仿宋_GB2312" w:eastAsia="仿宋_GB2312"/>
          <w:bCs/>
          <w:sz w:val="32"/>
          <w:szCs w:val="32"/>
        </w:rPr>
      </w:pPr>
      <w:r>
        <w:rPr>
          <w:rFonts w:hint="eastAsia" w:ascii="黑体" w:hAnsi="黑体" w:eastAsia="黑体" w:cs="黑体"/>
          <w:sz w:val="32"/>
          <w:szCs w:val="32"/>
        </w:rPr>
        <w:t>5.统筹抓好相关全省性文件贯彻落实。</w:t>
      </w:r>
      <w:r>
        <w:rPr>
          <w:rFonts w:hint="eastAsia" w:ascii="仿宋_GB2312" w:hAnsi="仿宋_GB2312" w:eastAsia="仿宋_GB2312" w:cs="仿宋_GB2312"/>
          <w:sz w:val="32"/>
          <w:szCs w:val="32"/>
        </w:rPr>
        <w:t>（责任部门：办公室、学会学术部、</w:t>
      </w:r>
      <w:r>
        <w:rPr>
          <w:rFonts w:hint="default" w:ascii="仿宋_GB2312" w:hAnsi="仿宋_GB2312" w:eastAsia="仿宋_GB2312" w:cs="仿宋_GB2312"/>
          <w:sz w:val="32"/>
          <w:szCs w:val="32"/>
          <w:lang w:val="en" w:eastAsia="zh-CN"/>
        </w:rPr>
        <w:t>科学技术普及部</w:t>
      </w:r>
      <w:r>
        <w:rPr>
          <w:rFonts w:hint="eastAsia" w:ascii="仿宋_GB2312" w:hAnsi="仿宋_GB2312" w:eastAsia="仿宋_GB2312" w:cs="仿宋_GB2312"/>
          <w:sz w:val="32"/>
          <w:szCs w:val="32"/>
        </w:rPr>
        <w:t>，机关各部室、各直属事业单位，</w:t>
      </w:r>
      <w:r>
        <w:rPr>
          <w:rFonts w:hint="eastAsia" w:ascii="仿宋_GB2312" w:hAnsi="方正楷体_GBK" w:eastAsia="仿宋_GB2312" w:cs="方正楷体_GBK"/>
          <w:sz w:val="32"/>
          <w:szCs w:val="32"/>
        </w:rPr>
        <w:t>各全省学会，各省辖市和济源示范区科协，各高校科协、企业科协、医疗卫生机构科协</w:t>
      </w:r>
      <w:r>
        <w:rPr>
          <w:rFonts w:hint="eastAsia" w:ascii="仿宋_GB2312" w:hAnsi="仿宋_GB2312" w:eastAsia="仿宋_GB2312" w:cs="仿宋_GB2312"/>
          <w:sz w:val="32"/>
          <w:szCs w:val="32"/>
        </w:rPr>
        <w:t>）</w:t>
      </w:r>
    </w:p>
    <w:p>
      <w:pPr>
        <w:overflowPunct w:val="0"/>
        <w:ind w:firstLine="640" w:firstLineChars="200"/>
        <w:rPr>
          <w:rFonts w:hint="eastAsia" w:ascii="仿宋_GB2312" w:eastAsia="仿宋_GB2312"/>
          <w:sz w:val="32"/>
          <w:szCs w:val="32"/>
        </w:rPr>
      </w:pPr>
      <w:r>
        <w:rPr>
          <w:rFonts w:hint="eastAsia" w:ascii="黑体" w:hAnsi="黑体" w:eastAsia="黑体" w:cs="黑体"/>
          <w:sz w:val="32"/>
          <w:szCs w:val="32"/>
        </w:rPr>
        <w:t>6.健全完善科技人才成长支持链条。</w:t>
      </w:r>
      <w:r>
        <w:rPr>
          <w:rFonts w:hint="eastAsia" w:ascii="仿宋_GB2312" w:hAnsi="仿宋_GB2312" w:eastAsia="仿宋_GB2312" w:cs="仿宋_GB2312"/>
          <w:sz w:val="32"/>
          <w:szCs w:val="32"/>
        </w:rPr>
        <w:t>（责任</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：组织人事部、学会学术部、省科普中心，机关各部室、各直属事业单位，</w:t>
      </w:r>
      <w:r>
        <w:rPr>
          <w:rFonts w:hint="eastAsia" w:ascii="仿宋_GB2312" w:hAnsi="方正楷体_GBK" w:eastAsia="仿宋_GB2312" w:cs="方正楷体_GBK"/>
          <w:sz w:val="32"/>
          <w:szCs w:val="32"/>
        </w:rPr>
        <w:t>各全省学会，各省辖市和济源示范区科协，各高校科协、企业科协、医疗卫生机构科协</w:t>
      </w:r>
      <w:r>
        <w:rPr>
          <w:rFonts w:hint="eastAsia" w:ascii="仿宋_GB2312" w:hAnsi="仿宋_GB2312" w:eastAsia="仿宋_GB2312" w:cs="仿宋_GB2312"/>
          <w:sz w:val="32"/>
          <w:szCs w:val="32"/>
        </w:rPr>
        <w:t>）</w:t>
      </w:r>
    </w:p>
    <w:p>
      <w:pPr>
        <w:overflowPunct w:val="0"/>
        <w:ind w:firstLine="640" w:firstLineChars="200"/>
        <w:rPr>
          <w:rFonts w:ascii="仿宋_GB2312" w:eastAsia="仿宋_GB2312"/>
          <w:bCs/>
          <w:sz w:val="32"/>
          <w:szCs w:val="32"/>
        </w:rPr>
      </w:pPr>
      <w:r>
        <w:rPr>
          <w:rFonts w:hint="eastAsia" w:ascii="黑体" w:hAnsi="黑体" w:eastAsia="黑体" w:cs="黑体"/>
          <w:bCs/>
          <w:sz w:val="32"/>
          <w:szCs w:val="32"/>
        </w:rPr>
        <w:t>7.大力推进一流学会建设。</w:t>
      </w:r>
      <w:r>
        <w:rPr>
          <w:rFonts w:hint="eastAsia" w:ascii="仿宋_GB2312" w:hAnsi="仿宋_GB2312" w:eastAsia="仿宋_GB2312" w:cs="仿宋_GB2312"/>
          <w:sz w:val="32"/>
          <w:szCs w:val="32"/>
        </w:rPr>
        <w:t>（责任部门：学会学术部</w:t>
      </w:r>
      <w:r>
        <w:rPr>
          <w:rFonts w:hint="eastAsia" w:ascii="仿宋_GB2312" w:hAnsi="仿宋_GB2312" w:eastAsia="仿宋_GB2312" w:cs="仿宋_GB2312"/>
          <w:sz w:val="32"/>
          <w:szCs w:val="32"/>
          <w:lang w:eastAsia="zh-CN"/>
        </w:rPr>
        <w:t>、学会服务中心</w:t>
      </w:r>
      <w:r>
        <w:rPr>
          <w:rFonts w:hint="eastAsia" w:ascii="仿宋_GB2312" w:hAnsi="仿宋_GB2312" w:eastAsia="仿宋_GB2312" w:cs="仿宋_GB2312"/>
          <w:sz w:val="32"/>
          <w:szCs w:val="32"/>
        </w:rPr>
        <w:t>，</w:t>
      </w:r>
      <w:r>
        <w:rPr>
          <w:rFonts w:hint="eastAsia" w:ascii="仿宋_GB2312" w:hAnsi="方正楷体_GBK" w:eastAsia="仿宋_GB2312" w:cs="方正楷体_GBK"/>
          <w:sz w:val="32"/>
          <w:szCs w:val="32"/>
        </w:rPr>
        <w:t>各全省学会</w:t>
      </w:r>
      <w:r>
        <w:rPr>
          <w:rFonts w:hint="eastAsia" w:ascii="仿宋_GB2312" w:hAnsi="仿宋_GB2312" w:eastAsia="仿宋_GB2312" w:cs="仿宋_GB2312"/>
          <w:sz w:val="32"/>
          <w:szCs w:val="32"/>
        </w:rPr>
        <w:t>）</w:t>
      </w:r>
    </w:p>
    <w:p>
      <w:pPr>
        <w:overflowPunct w:val="0"/>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rPr>
        <w:t>8.巩固拓展科普助力双减“微改革”成果。</w:t>
      </w:r>
      <w:r>
        <w:rPr>
          <w:rFonts w:hint="eastAsia" w:ascii="仿宋_GB2312" w:hAnsi="仿宋_GB2312" w:eastAsia="仿宋_GB2312" w:cs="仿宋_GB2312"/>
          <w:sz w:val="32"/>
          <w:szCs w:val="32"/>
        </w:rPr>
        <w:t>（责任部门：</w:t>
      </w:r>
      <w:r>
        <w:rPr>
          <w:rFonts w:hint="default" w:ascii="仿宋_GB2312" w:hAnsi="仿宋_GB2312" w:eastAsia="仿宋_GB2312" w:cs="仿宋_GB2312"/>
          <w:sz w:val="32"/>
          <w:szCs w:val="32"/>
          <w:lang w:val="en"/>
        </w:rPr>
        <w:t>科学技术普及部</w:t>
      </w:r>
      <w:r>
        <w:rPr>
          <w:rFonts w:hint="eastAsia" w:ascii="仿宋_GB2312" w:hAnsi="仿宋_GB2312" w:eastAsia="仿宋_GB2312" w:cs="仿宋_GB2312"/>
          <w:sz w:val="32"/>
          <w:szCs w:val="32"/>
          <w:lang w:val="en" w:eastAsia="zh-CN"/>
        </w:rPr>
        <w:t>、省科技馆、省科普中心</w:t>
      </w:r>
      <w:r>
        <w:rPr>
          <w:rFonts w:hint="eastAsia" w:ascii="仿宋_GB2312" w:hAnsi="仿宋_GB2312" w:eastAsia="仿宋_GB2312" w:cs="仿宋_GB2312"/>
          <w:sz w:val="32"/>
          <w:szCs w:val="32"/>
        </w:rPr>
        <w:t>，</w:t>
      </w:r>
      <w:r>
        <w:rPr>
          <w:rFonts w:hint="eastAsia" w:ascii="仿宋_GB2312" w:hAnsi="方正楷体_GBK" w:eastAsia="仿宋_GB2312" w:cs="方正楷体_GBK"/>
          <w:sz w:val="32"/>
          <w:szCs w:val="32"/>
        </w:rPr>
        <w:t>各省辖市和济源示范区科协</w:t>
      </w:r>
      <w:r>
        <w:rPr>
          <w:rFonts w:hint="eastAsia" w:ascii="仿宋_GB2312" w:hAnsi="仿宋_GB2312" w:eastAsia="仿宋_GB2312" w:cs="仿宋_GB2312"/>
          <w:sz w:val="32"/>
          <w:szCs w:val="32"/>
        </w:rPr>
        <w:t>）</w:t>
      </w:r>
    </w:p>
    <w:p>
      <w:pPr>
        <w:overflowPunct w:val="0"/>
        <w:ind w:firstLine="640" w:firstLineChars="200"/>
        <w:rPr>
          <w:rFonts w:hint="eastAsia" w:ascii="仿宋_GB2312" w:hAnsi="仿宋_GB2312" w:eastAsia="仿宋_GB2312" w:cs="仿宋_GB2312"/>
          <w:color w:val="000000"/>
          <w:sz w:val="32"/>
          <w:szCs w:val="32"/>
        </w:rPr>
      </w:pPr>
      <w:r>
        <w:rPr>
          <w:rFonts w:hint="eastAsia" w:ascii="黑体" w:hAnsi="黑体" w:eastAsia="黑体" w:cs="黑体"/>
          <w:sz w:val="32"/>
          <w:szCs w:val="32"/>
        </w:rPr>
        <w:t>9.显著提升科技智库建设水平。</w:t>
      </w:r>
      <w:r>
        <w:rPr>
          <w:rFonts w:hint="eastAsia" w:ascii="仿宋_GB2312" w:hAnsi="仿宋_GB2312" w:eastAsia="仿宋_GB2312" w:cs="仿宋_GB2312"/>
          <w:sz w:val="32"/>
          <w:szCs w:val="32"/>
        </w:rPr>
        <w:t>（责任部门：调研宣传部、</w:t>
      </w:r>
      <w:r>
        <w:rPr>
          <w:rFonts w:ascii="仿宋_GB2312" w:hAnsi="仿宋_GB2312" w:eastAsia="仿宋_GB2312" w:cs="仿宋_GB2312"/>
          <w:sz w:val="32"/>
          <w:szCs w:val="32"/>
        </w:rPr>
        <w:t>人才发展中心</w:t>
      </w:r>
      <w:r>
        <w:rPr>
          <w:rFonts w:hint="eastAsia" w:ascii="仿宋_GB2312" w:hAnsi="仿宋_GB2312" w:eastAsia="仿宋_GB2312" w:cs="仿宋_GB2312"/>
          <w:sz w:val="32"/>
          <w:szCs w:val="32"/>
        </w:rPr>
        <w:t>、报刊编辑部，</w:t>
      </w:r>
      <w:r>
        <w:rPr>
          <w:rFonts w:hint="eastAsia" w:ascii="仿宋_GB2312" w:hAnsi="方正楷体_GBK" w:eastAsia="仿宋_GB2312" w:cs="方正楷体_GBK"/>
          <w:sz w:val="32"/>
          <w:szCs w:val="32"/>
        </w:rPr>
        <w:t>各全省学会，各省辖市和济源示范区科协，各高校科协、企业科协、医疗卫生机构科协</w:t>
      </w:r>
      <w:r>
        <w:rPr>
          <w:rFonts w:hint="eastAsia" w:ascii="仿宋_GB2312" w:hAnsi="仿宋_GB2312" w:eastAsia="仿宋_GB2312" w:cs="仿宋_GB2312"/>
          <w:sz w:val="32"/>
          <w:szCs w:val="32"/>
        </w:rPr>
        <w:t>）</w:t>
      </w:r>
    </w:p>
    <w:p>
      <w:pPr>
        <w:pStyle w:val="5"/>
        <w:spacing w:line="360" w:lineRule="auto"/>
        <w:ind w:firstLine="640" w:firstLineChars="200"/>
        <w:rPr>
          <w:rFonts w:hint="eastAsia" w:ascii="方正楷体_GBK" w:hAnsi="方正楷体_GBK" w:eastAsia="方正楷体_GBK" w:cs="方正楷体_GBK"/>
          <w:sz w:val="32"/>
          <w:szCs w:val="32"/>
        </w:rPr>
      </w:pPr>
      <w:r>
        <w:rPr>
          <w:rFonts w:hint="eastAsia" w:ascii="黑体" w:hAnsi="黑体" w:eastAsia="黑体" w:cs="黑体"/>
          <w:sz w:val="32"/>
          <w:szCs w:val="32"/>
        </w:rPr>
        <w:t>10.着力夯实党在科技界的执政基础。</w:t>
      </w:r>
      <w:r>
        <w:rPr>
          <w:rFonts w:hint="eastAsia" w:ascii="仿宋_GB2312" w:hAnsi="仿宋_GB2312" w:eastAsia="仿宋_GB2312" w:cs="仿宋_GB2312"/>
          <w:sz w:val="32"/>
          <w:szCs w:val="32"/>
        </w:rPr>
        <w:t>（责任部门：机关党委、调研宣传部、</w:t>
      </w:r>
      <w:r>
        <w:rPr>
          <w:rFonts w:ascii="仿宋_GB2312" w:hAnsi="仿宋_GB2312" w:eastAsia="仿宋_GB2312" w:cs="仿宋_GB2312"/>
          <w:sz w:val="32"/>
          <w:szCs w:val="32"/>
        </w:rPr>
        <w:t>学会服务中心</w:t>
      </w:r>
      <w:r>
        <w:rPr>
          <w:rFonts w:hint="eastAsia" w:ascii="仿宋_GB2312" w:hAnsi="仿宋_GB2312" w:eastAsia="仿宋_GB2312" w:cs="仿宋_GB2312"/>
          <w:sz w:val="32"/>
          <w:szCs w:val="32"/>
        </w:rPr>
        <w:t>、报刊编辑部，机关各部室、各直属事业单位，</w:t>
      </w:r>
      <w:r>
        <w:rPr>
          <w:rFonts w:hint="eastAsia" w:ascii="仿宋_GB2312" w:hAnsi="方正楷体_GBK" w:eastAsia="仿宋_GB2312" w:cs="方正楷体_GBK"/>
          <w:sz w:val="32"/>
          <w:szCs w:val="32"/>
        </w:rPr>
        <w:t>各全省学会，各省辖市和济源示范区科协，各高校科协、企业科协、医疗卫生机构科协</w:t>
      </w:r>
      <w:r>
        <w:rPr>
          <w:rFonts w:hint="eastAsia" w:ascii="仿宋_GB2312" w:hAnsi="仿宋_GB2312" w:eastAsia="仿宋_GB2312" w:cs="仿宋_GB2312"/>
          <w:sz w:val="32"/>
          <w:szCs w:val="32"/>
        </w:rPr>
        <w:t>）</w:t>
      </w:r>
    </w:p>
    <w:bookmarkEnd w:id="0"/>
    <w:p>
      <w:pPr>
        <w:jc w:val="center"/>
        <w:rPr>
          <w:rFonts w:ascii="方正楷体_GBK" w:hAnsi="方正楷体_GBK" w:eastAsia="方正楷体_GBK" w:cs="方正楷体_GBK"/>
          <w:sz w:val="32"/>
          <w:szCs w:val="32"/>
        </w:rPr>
      </w:pPr>
      <w:r>
        <w:rPr>
          <w:rFonts w:ascii="方正楷体_GBK" w:hAnsi="方正楷体_GBK" w:eastAsia="方正楷体_GBK" w:cs="方正楷体_GBK"/>
          <w:sz w:val="32"/>
          <w:szCs w:val="32"/>
        </w:rPr>
        <w:br w:type="page"/>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河南省科协202</w:t>
      </w:r>
      <w:r>
        <w:rPr>
          <w:rFonts w:ascii="方正小标宋简体" w:hAnsi="方正小标宋简体" w:eastAsia="方正小标宋简体" w:cs="方正小标宋简体"/>
          <w:sz w:val="44"/>
          <w:szCs w:val="44"/>
        </w:rPr>
        <w:t>4</w:t>
      </w:r>
      <w:r>
        <w:rPr>
          <w:rFonts w:hint="eastAsia" w:ascii="方正小标宋简体" w:hAnsi="方正小标宋简体" w:eastAsia="方正小标宋简体" w:cs="方正小标宋简体"/>
          <w:sz w:val="44"/>
          <w:szCs w:val="44"/>
        </w:rPr>
        <w:t>年工作要点</w:t>
      </w:r>
    </w:p>
    <w:p>
      <w:pPr>
        <w:pStyle w:val="5"/>
        <w:spacing w:line="360" w:lineRule="auto"/>
        <w:ind w:firstLine="640" w:firstLineChars="200"/>
        <w:rPr>
          <w:rFonts w:ascii="方正楷体_GBK" w:hAnsi="方正楷体_GBK" w:eastAsia="方正楷体_GBK" w:cs="方正楷体_GBK"/>
          <w:sz w:val="32"/>
          <w:szCs w:val="32"/>
        </w:rPr>
      </w:pPr>
    </w:p>
    <w:p>
      <w:pPr>
        <w:numPr>
          <w:ilvl w:val="0"/>
          <w:numId w:val="0"/>
        </w:numPr>
        <w:ind w:firstLine="651"/>
        <w:rPr>
          <w:rFonts w:ascii="仿宋_GB2312" w:hAnsi="仿宋_GB2312" w:eastAsia="仿宋_GB2312" w:cs="仿宋_GB2312"/>
          <w:sz w:val="32"/>
          <w:szCs w:val="32"/>
        </w:rPr>
      </w:pPr>
      <w:r>
        <w:rPr>
          <w:rFonts w:hint="eastAsia" w:ascii="仿宋_GB2312" w:hAnsi="仿宋_GB2312" w:eastAsia="仿宋_GB2312" w:cs="仿宋_GB2312"/>
          <w:sz w:val="32"/>
          <w:szCs w:val="32"/>
        </w:rPr>
        <w:t>2024年是中华人民共和国成立75周年,是实现“十四五”规划目标任务的关键一年,是奋力推进中国式现代化建设河南实践、向着“两个确保”目标奋勇前进的重要一年,也是全省科协系统持续推进“5610”总体安排的奋进之年。我们要在发挥科技领域新型举国体制优势过程中,把握时与势、找准位与责。</w:t>
      </w:r>
    </w:p>
    <w:p>
      <w:pPr>
        <w:numPr>
          <w:ilvl w:val="0"/>
          <w:numId w:val="0"/>
        </w:numPr>
        <w:ind w:firstLine="651"/>
        <w:rPr>
          <w:rFonts w:ascii="仿宋_GB2312" w:hAnsi="仿宋_GB2312" w:eastAsia="仿宋_GB2312" w:cs="仿宋_GB2312"/>
          <w:sz w:val="32"/>
          <w:szCs w:val="32"/>
        </w:rPr>
      </w:pPr>
      <w:r>
        <w:rPr>
          <w:rFonts w:hint="eastAsia" w:ascii="仿宋_GB2312" w:hAnsi="仿宋_GB2312" w:eastAsia="仿宋_GB2312" w:cs="仿宋_GB2312"/>
          <w:sz w:val="32"/>
          <w:szCs w:val="32"/>
        </w:rPr>
        <w:t>今年省科协工作的总体思路和安排是:坚持以习近平新时代中国特色社会主义思想为指导,深入贯彻落实党的二十大精神、全国两会精神、中央书记处对群团工作的指示精神和省委十一届六次全会暨省委经济工作会议精神、省委常委会会议关于群团工作的有关精神、中国科协十届八次全委会议精神,在省委坚强领导和中国科协有力指导下,履行“四服务”职责,担当培育壮大新质生产力重任,持续推进“5610”总体安排,明确“强科技、助经济、惠民生”三大主攻方向,夯实党在科技界的执政基础,夯实科协在科技工作者中的组织基础,夯实科协推动高水平科技自立自强的载体基础,团结引领广大科技工作者为推动河南创新发展贡献力量。</w:t>
      </w:r>
    </w:p>
    <w:p>
      <w:pPr>
        <w:numPr>
          <w:ilvl w:val="0"/>
          <w:numId w:val="0"/>
        </w:numPr>
        <w:ind w:firstLine="651"/>
        <w:rPr>
          <w:rFonts w:ascii="仿宋_GB2312" w:hAnsi="仿宋_GB2312" w:eastAsia="仿宋_GB2312" w:cs="仿宋_GB2312"/>
          <w:sz w:val="32"/>
          <w:szCs w:val="32"/>
        </w:rPr>
      </w:pPr>
      <w:r>
        <w:rPr>
          <w:rFonts w:hint="eastAsia" w:ascii="仿宋_GB2312" w:hAnsi="仿宋_GB2312" w:eastAsia="仿宋_GB2312" w:cs="仿宋_GB2312"/>
          <w:sz w:val="32"/>
          <w:szCs w:val="32"/>
        </w:rPr>
        <w:t>2024年省科协工作将力争实现如下目标:圆满完成科协十大换届工作,推动新时代河南科协工作开启新征程;扎实推动党的创新理论学习贯彻走深走实,对科技工作者的思想政治引领实现新提升;全面建成省科技馆新馆并正式运行,推动全省现代科技馆体系建设实现新提升;持续深化“省会”“省院”两个重要合作,对接引进国家战略科技力量实现新提升;着力培育新质生产力,助力创新驱动发展实现新提升;着力构建大科普格局,稳步均衡提高全民科学素质实现新提升;拓展提升人才、学会、科普、智库等科协重要业务,助力服务国家创新高地和重要人才中心建设取得新成绩。</w:t>
      </w:r>
    </w:p>
    <w:p>
      <w:pPr>
        <w:numPr>
          <w:ilvl w:val="0"/>
          <w:numId w:val="0"/>
        </w:numPr>
        <w:ind w:firstLine="651"/>
        <w:rPr>
          <w:rFonts w:ascii="仿宋_GB2312" w:hAnsi="仿宋_GB2312" w:eastAsia="仿宋_GB2312" w:cs="仿宋_GB2312"/>
          <w:sz w:val="32"/>
          <w:szCs w:val="32"/>
        </w:rPr>
      </w:pPr>
      <w:r>
        <w:rPr>
          <w:rFonts w:hint="eastAsia" w:ascii="仿宋_GB2312" w:hAnsi="仿宋_GB2312" w:eastAsia="仿宋_GB2312" w:cs="仿宋_GB2312"/>
          <w:sz w:val="32"/>
          <w:szCs w:val="32"/>
        </w:rPr>
        <w:t>在做好各项日常工作的基础上,着重从以下六个方面做好全省科协工作:</w:t>
      </w:r>
    </w:p>
    <w:p>
      <w:pPr>
        <w:numPr>
          <w:ilvl w:val="0"/>
          <w:numId w:val="0"/>
        </w:num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一、坚持强化引领,大力弘扬新时代科学家精神,夯实党在科技界的执政基础</w:t>
      </w:r>
    </w:p>
    <w:p>
      <w:pPr>
        <w:numPr>
          <w:ilvl w:val="0"/>
          <w:numId w:val="0"/>
        </w:numPr>
        <w:ind w:firstLine="651"/>
        <w:rPr>
          <w:rFonts w:hint="eastAsia" w:ascii="楷体_GB2312" w:hAnsi="仿宋_GB2312" w:eastAsia="楷体_GB2312" w:cs="仿宋_GB2312"/>
          <w:sz w:val="32"/>
          <w:szCs w:val="32"/>
        </w:rPr>
      </w:pPr>
      <w:r>
        <w:rPr>
          <w:rFonts w:hint="eastAsia" w:ascii="仿宋_GB2312" w:hAnsi="方正楷体_GBK" w:eastAsia="仿宋_GB2312" w:cs="方正楷体_GBK"/>
          <w:b/>
          <w:bCs/>
          <w:sz w:val="32"/>
          <w:szCs w:val="32"/>
        </w:rPr>
        <w:t>1.加强思想政治引领。</w:t>
      </w:r>
      <w:r>
        <w:rPr>
          <w:rFonts w:hint="eastAsia" w:ascii="仿宋_GB2312" w:hAnsi="仿宋_GB2312" w:eastAsia="仿宋_GB2312" w:cs="仿宋_GB2312"/>
          <w:sz w:val="32"/>
          <w:szCs w:val="32"/>
        </w:rPr>
        <w:t>强化理论武装,在全省科技界和科协系统深入学习宣传贯彻党的二十大精神,巩固深化学习贯彻习近平新时代中国特色社会主义思想主题教育成果,加强省科协党校建设,举办青年科技人才国情研修班,引领广大科技工作者坚定不移听党话、跟党走。强化党建引领,实施精神文明建设提质增效行动,以机关党建高质量带动机关业务高质量;实施省科技社团党委党建筑基强会行动,提升科技社团党建论坛等品牌活动实效,探索学会党建特色活动。</w:t>
      </w:r>
      <w:r>
        <w:rPr>
          <w:rFonts w:hint="eastAsia" w:ascii="楷体_GB2312" w:hAnsi="仿宋_GB2312" w:eastAsia="楷体_GB2312" w:cs="仿宋_GB2312"/>
          <w:sz w:val="32"/>
          <w:szCs w:val="32"/>
        </w:rPr>
        <w:t>（责任部门：</w:t>
      </w:r>
      <w:r>
        <w:rPr>
          <w:rFonts w:hint="eastAsia" w:ascii="楷体_GB2312" w:hAnsi="仿宋_GB2312" w:eastAsia="楷体_GB2312" w:cs="仿宋_GB2312"/>
          <w:sz w:val="32"/>
          <w:szCs w:val="32"/>
          <w:lang w:eastAsia="zh-CN"/>
        </w:rPr>
        <w:t>组织人事部、</w:t>
      </w:r>
      <w:r>
        <w:rPr>
          <w:rFonts w:hint="eastAsia" w:ascii="楷体_GB2312" w:hAnsi="仿宋_GB2312" w:eastAsia="楷体_GB2312" w:cs="仿宋_GB2312"/>
          <w:sz w:val="32"/>
          <w:szCs w:val="32"/>
        </w:rPr>
        <w:t>机关党委、</w:t>
      </w:r>
      <w:r>
        <w:rPr>
          <w:rFonts w:hint="eastAsia" w:ascii="楷体_GB2312" w:hAnsi="仿宋_GB2312" w:eastAsia="楷体_GB2312" w:cs="仿宋_GB2312"/>
          <w:sz w:val="32"/>
          <w:szCs w:val="32"/>
          <w:lang w:eastAsia="zh-CN"/>
        </w:rPr>
        <w:t>学会学术部、</w:t>
      </w:r>
      <w:r>
        <w:rPr>
          <w:rFonts w:hint="eastAsia" w:ascii="楷体_GB2312" w:hAnsi="仿宋_GB2312" w:eastAsia="楷体_GB2312" w:cs="仿宋_GB2312"/>
          <w:sz w:val="32"/>
          <w:szCs w:val="32"/>
        </w:rPr>
        <w:t>调研宣传部、学会服务中心</w:t>
      </w:r>
      <w:r>
        <w:rPr>
          <w:rFonts w:hint="eastAsia" w:ascii="楷体_GB2312" w:hAnsi="仿宋_GB2312" w:eastAsia="楷体_GB2312" w:cs="仿宋_GB2312"/>
          <w:sz w:val="32"/>
          <w:szCs w:val="32"/>
          <w:lang w:eastAsia="zh-CN"/>
        </w:rPr>
        <w:t>、人才发展中心</w:t>
      </w:r>
      <w:r>
        <w:rPr>
          <w:rFonts w:hint="eastAsia" w:ascii="楷体_GB2312" w:hAnsi="仿宋_GB2312" w:eastAsia="楷体_GB2312" w:cs="仿宋_GB2312"/>
          <w:sz w:val="32"/>
          <w:szCs w:val="32"/>
        </w:rPr>
        <w:t>，机关各部室、各直属事业单位，</w:t>
      </w:r>
      <w:r>
        <w:rPr>
          <w:rFonts w:hint="eastAsia" w:ascii="楷体_GB2312" w:hAnsi="方正楷体_GBK" w:eastAsia="楷体_GB2312" w:cs="方正楷体_GBK"/>
          <w:sz w:val="32"/>
          <w:szCs w:val="32"/>
        </w:rPr>
        <w:t>各全省学会，各省辖市和济源示范区科协，各高校科协、企业科协、医疗卫生机构科协</w:t>
      </w:r>
      <w:r>
        <w:rPr>
          <w:rFonts w:hint="eastAsia" w:ascii="楷体_GB2312" w:hAnsi="仿宋_GB2312" w:eastAsia="楷体_GB2312" w:cs="仿宋_GB2312"/>
          <w:sz w:val="32"/>
          <w:szCs w:val="32"/>
        </w:rPr>
        <w:t>）</w:t>
      </w:r>
    </w:p>
    <w:p>
      <w:pPr>
        <w:numPr>
          <w:ilvl w:val="0"/>
          <w:numId w:val="0"/>
        </w:numPr>
        <w:ind w:firstLine="651"/>
        <w:rPr>
          <w:rFonts w:hint="eastAsia" w:ascii="等线" w:hAnsi="等线" w:eastAsia="仿宋_GB2312" w:cs="仿宋_GB2312"/>
          <w:sz w:val="32"/>
          <w:szCs w:val="32"/>
        </w:rPr>
      </w:pPr>
      <w:r>
        <w:rPr>
          <w:rFonts w:hint="eastAsia" w:ascii="仿宋_GB2312" w:hAnsi="方正楷体_GBK" w:eastAsia="仿宋_GB2312" w:cs="方正楷体_GBK"/>
          <w:b/>
          <w:bCs/>
          <w:sz w:val="32"/>
          <w:szCs w:val="32"/>
        </w:rPr>
        <w:t>2.大力弘扬科学家精神。</w:t>
      </w:r>
      <w:r>
        <w:rPr>
          <w:rFonts w:hint="eastAsia" w:ascii="仿宋_GB2312" w:hAnsi="仿宋_GB2312" w:eastAsia="仿宋_GB2312" w:cs="仿宋_GB2312"/>
          <w:sz w:val="32"/>
          <w:szCs w:val="32"/>
        </w:rPr>
        <w:t>强化活动支撑,建立科学家精神挖掘整理、多彩呈现、广泛传播的工作机制,重点举办好河南“最美科技工作者”发布仪式,统筹开展好2024年“全国科技工作者日”系列活动。强化平台支撑,突出科学家精神教育基地建设与服务,新建一批河南省科学家精神教育基地,力争新增3-5家全国科学家精神教育基地。强化队伍支撑,用好河南省科学家精神宣讲团,广泛宣传老一辈科学家和新时代优秀科技工作者先进事迹。</w:t>
      </w:r>
      <w:r>
        <w:rPr>
          <w:rFonts w:hint="eastAsia" w:ascii="楷体_GB2312" w:hAnsi="方正楷体_GBK" w:eastAsia="楷体_GB2312" w:cs="方正楷体_GBK"/>
          <w:sz w:val="32"/>
          <w:szCs w:val="32"/>
        </w:rPr>
        <w:t>（责任部门：调研宣传部</w:t>
      </w:r>
      <w:r>
        <w:rPr>
          <w:rFonts w:hint="eastAsia" w:ascii="楷体_GB2312" w:hAnsi="方正楷体_GBK" w:eastAsia="楷体_GB2312" w:cs="方正楷体_GBK"/>
          <w:sz w:val="32"/>
          <w:szCs w:val="32"/>
          <w:lang w:eastAsia="zh-CN"/>
        </w:rPr>
        <w:t>、人才发展中心</w:t>
      </w:r>
      <w:r>
        <w:rPr>
          <w:rFonts w:hint="eastAsia" w:ascii="楷体_GB2312" w:hAnsi="方正楷体_GBK" w:eastAsia="楷体_GB2312" w:cs="方正楷体_GBK"/>
          <w:sz w:val="32"/>
          <w:szCs w:val="32"/>
        </w:rPr>
        <w:t>，机关各部室、各直属事业单位，各省辖市和济源示范区科协，各高校科协、企业科协、医疗卫生机构科协）</w:t>
      </w:r>
    </w:p>
    <w:p>
      <w:pPr>
        <w:numPr>
          <w:ilvl w:val="0"/>
          <w:numId w:val="0"/>
        </w:numPr>
        <w:ind w:firstLine="651"/>
        <w:rPr>
          <w:rFonts w:hint="eastAsia" w:ascii="等线" w:hAnsi="等线" w:eastAsia="仿宋_GB2312" w:cs="仿宋_GB2312"/>
          <w:sz w:val="32"/>
          <w:szCs w:val="32"/>
        </w:rPr>
      </w:pPr>
      <w:r>
        <w:rPr>
          <w:rFonts w:hint="eastAsia" w:ascii="仿宋_GB2312" w:hAnsi="方正楷体_GBK" w:eastAsia="仿宋_GB2312" w:cs="方正楷体_GBK"/>
          <w:b/>
          <w:bCs/>
          <w:sz w:val="32"/>
          <w:szCs w:val="32"/>
        </w:rPr>
        <w:t>3.强化科学文化建设。</w:t>
      </w:r>
      <w:r>
        <w:rPr>
          <w:rFonts w:hint="eastAsia" w:ascii="仿宋_GB2312" w:hAnsi="仿宋_GB2312" w:eastAsia="仿宋_GB2312" w:cs="仿宋_GB2312"/>
          <w:sz w:val="32"/>
          <w:szCs w:val="32"/>
        </w:rPr>
        <w:t>完善全省科学道德和学风建设宣讲教育领导小组工作机制,组织好2024年“科学道德和学风建设宣传月”、科技志愿服务活动,扎实推进科技伦理、科学道德和学风建设,引导科技工作者树立科学文化自信、坚定科技创新自信。</w:t>
      </w:r>
      <w:r>
        <w:rPr>
          <w:rFonts w:hint="eastAsia" w:ascii="楷体_GB2312" w:hAnsi="方正楷体_GBK" w:eastAsia="楷体_GB2312" w:cs="方正楷体_GBK"/>
          <w:sz w:val="32"/>
          <w:szCs w:val="32"/>
        </w:rPr>
        <w:t>（责任部门：</w:t>
      </w:r>
      <w:r>
        <w:rPr>
          <w:rFonts w:hint="eastAsia" w:ascii="楷体_GB2312" w:hAnsi="方正楷体_GBK" w:eastAsia="楷体_GB2312" w:cs="方正楷体_GBK"/>
          <w:sz w:val="32"/>
          <w:szCs w:val="32"/>
          <w:lang w:eastAsia="zh-CN"/>
        </w:rPr>
        <w:t>调研宣传部、人才发展中心</w:t>
      </w:r>
      <w:r>
        <w:rPr>
          <w:rFonts w:hint="eastAsia" w:ascii="楷体_GB2312" w:hAnsi="方正楷体_GBK" w:eastAsia="楷体_GB2312" w:cs="方正楷体_GBK"/>
          <w:sz w:val="32"/>
          <w:szCs w:val="32"/>
        </w:rPr>
        <w:t>，机关各部室、各直属事业单位，各全省学会，各省辖市和济源示范区科协，各高校科协、企业科协、医疗卫生机构科协）</w:t>
      </w:r>
    </w:p>
    <w:p>
      <w:pPr>
        <w:numPr>
          <w:ilvl w:val="0"/>
          <w:numId w:val="0"/>
        </w:numPr>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二、坚持人才为本,服务科技工作者成长成才,推动建设重要人才中心</w:t>
      </w:r>
    </w:p>
    <w:p>
      <w:pPr>
        <w:numPr>
          <w:ilvl w:val="0"/>
          <w:numId w:val="0"/>
        </w:numPr>
        <w:ind w:firstLine="651"/>
        <w:rPr>
          <w:rFonts w:hint="eastAsia" w:ascii="等线" w:hAnsi="等线" w:eastAsia="仿宋_GB2312" w:cs="仿宋_GB2312"/>
          <w:sz w:val="32"/>
          <w:szCs w:val="32"/>
        </w:rPr>
      </w:pPr>
      <w:r>
        <w:rPr>
          <w:rFonts w:hint="eastAsia" w:ascii="仿宋_GB2312" w:hAnsi="方正楷体_GBK" w:eastAsia="仿宋_GB2312" w:cs="方正楷体_GBK"/>
          <w:b/>
          <w:bCs/>
          <w:sz w:val="32"/>
          <w:szCs w:val="32"/>
          <w:lang w:val="en-US" w:eastAsia="zh-CN"/>
        </w:rPr>
        <w:t>4</w:t>
      </w:r>
      <w:r>
        <w:rPr>
          <w:rFonts w:hint="eastAsia" w:ascii="仿宋_GB2312" w:hAnsi="方正楷体_GBK" w:eastAsia="仿宋_GB2312" w:cs="方正楷体_GBK"/>
          <w:b/>
          <w:bCs/>
          <w:sz w:val="32"/>
          <w:szCs w:val="32"/>
        </w:rPr>
        <w:t>.丰富高端人才服务手段。</w:t>
      </w:r>
      <w:r>
        <w:rPr>
          <w:rFonts w:hint="eastAsia" w:ascii="仿宋_GB2312" w:hAnsi="仿宋_GB2312" w:eastAsia="仿宋_GB2312" w:cs="仿宋_GB2312"/>
          <w:sz w:val="32"/>
          <w:szCs w:val="32"/>
        </w:rPr>
        <w:t>深化实施高端人才培育“十条具体举措”,健全院士、“国家工程师奖”后备人选遴选、培养、举荐机制。举办院士沙龙系列活动,促进学科交叉融合。积极推荐我省优秀科技工作者参评中国科协奖项,推动设立“河南省工程师奖”前期工作,跟踪做好我省高层次领军人才服务支撑工作。主动对接省委人才工作,积极配合“扬帆计划”“招才引智”等全省大型人才引育活动,加大高端人才引进力度。积极承办举办国际学术会议,开展海智专家中原行活动,用好国家级海智离岸基地,加快引进海外科技创新领军人才。</w:t>
      </w:r>
      <w:r>
        <w:rPr>
          <w:rFonts w:hint="eastAsia" w:ascii="楷体_GB2312" w:hAnsi="方正楷体_GBK" w:eastAsia="楷体_GB2312" w:cs="方正楷体_GBK"/>
          <w:sz w:val="32"/>
          <w:szCs w:val="32"/>
        </w:rPr>
        <w:t>（责任部门：组织人事部、学会学术部</w:t>
      </w:r>
      <w:r>
        <w:rPr>
          <w:rFonts w:hint="eastAsia" w:ascii="楷体_GB2312" w:hAnsi="方正楷体_GBK" w:eastAsia="楷体_GB2312" w:cs="方正楷体_GBK"/>
          <w:sz w:val="32"/>
          <w:szCs w:val="32"/>
          <w:lang w:eastAsia="zh-CN"/>
        </w:rPr>
        <w:t>、人才发展中心</w:t>
      </w:r>
      <w:r>
        <w:rPr>
          <w:rFonts w:hint="eastAsia" w:ascii="楷体_GB2312" w:hAnsi="方正楷体_GBK" w:eastAsia="楷体_GB2312" w:cs="方正楷体_GBK"/>
          <w:sz w:val="32"/>
          <w:szCs w:val="32"/>
        </w:rPr>
        <w:t>，机关各部室、各直属事业单位，各全省学会，各省辖市和济源示范区科协，各高校科协、企业科协、医疗卫生机构科协）</w:t>
      </w:r>
    </w:p>
    <w:p>
      <w:pPr>
        <w:numPr>
          <w:ilvl w:val="0"/>
          <w:numId w:val="0"/>
        </w:numPr>
        <w:ind w:firstLine="651"/>
        <w:rPr>
          <w:rFonts w:hint="eastAsia" w:ascii="等线" w:hAnsi="等线" w:eastAsia="仿宋_GB2312" w:cs="仿宋_GB2312"/>
          <w:sz w:val="32"/>
          <w:szCs w:val="32"/>
        </w:rPr>
      </w:pPr>
      <w:r>
        <w:rPr>
          <w:rFonts w:hint="eastAsia" w:ascii="仿宋_GB2312" w:hAnsi="方正楷体_GBK" w:eastAsia="仿宋_GB2312" w:cs="方正楷体_GBK"/>
          <w:b/>
          <w:bCs/>
          <w:sz w:val="32"/>
          <w:szCs w:val="32"/>
          <w:lang w:val="en-US" w:eastAsia="zh-CN"/>
        </w:rPr>
        <w:t>5</w:t>
      </w:r>
      <w:r>
        <w:rPr>
          <w:rFonts w:hint="eastAsia" w:ascii="仿宋_GB2312" w:hAnsi="方正楷体_GBK" w:eastAsia="仿宋_GB2312" w:cs="方正楷体_GBK"/>
          <w:b/>
          <w:bCs/>
          <w:sz w:val="32"/>
          <w:szCs w:val="32"/>
        </w:rPr>
        <w:t>.健全青年人才支持链条。</w:t>
      </w:r>
      <w:r>
        <w:rPr>
          <w:rFonts w:hint="eastAsia" w:ascii="仿宋_GB2312" w:hAnsi="仿宋_GB2312" w:eastAsia="仿宋_GB2312" w:cs="仿宋_GB2312"/>
          <w:sz w:val="32"/>
          <w:szCs w:val="32"/>
        </w:rPr>
        <w:t>加大对青年科技人才的支持,实施好50个青年人才托举工程项目,组织好青年科技拔尖人才遴选等,引导全省学会积极吸纳优秀青年人才进入学会领导机构。探索卓越工程师培养模式,实施好10个卓越工程师培育工程项目,引导企业与全省学会、高校、科研院所开展人才共育。发挥人才服务载体聚合作用,依托河南省青年科学家论坛、“科创中原”青百会,搭建产学研各领域人才交流合作平台,营造联合创新生态</w:t>
      </w:r>
      <w:r>
        <w:rPr>
          <w:rFonts w:hint="eastAsia" w:ascii="楷体_GB2312" w:hAnsi="方正楷体_GBK" w:eastAsia="楷体_GB2312" w:cs="方正楷体_GBK"/>
          <w:sz w:val="32"/>
          <w:szCs w:val="32"/>
        </w:rPr>
        <w:t>。（责任部门：组织人事部、学会学术部</w:t>
      </w:r>
      <w:r>
        <w:rPr>
          <w:rFonts w:hint="eastAsia" w:ascii="楷体_GB2312" w:hAnsi="方正楷体_GBK" w:eastAsia="楷体_GB2312" w:cs="方正楷体_GBK"/>
          <w:sz w:val="32"/>
          <w:szCs w:val="32"/>
          <w:lang w:eastAsia="zh-CN"/>
        </w:rPr>
        <w:t>、学会服务中心、人才发展中心</w:t>
      </w:r>
      <w:r>
        <w:rPr>
          <w:rFonts w:hint="eastAsia" w:ascii="楷体_GB2312" w:hAnsi="方正楷体_GBK" w:eastAsia="楷体_GB2312" w:cs="方正楷体_GBK"/>
          <w:sz w:val="32"/>
          <w:szCs w:val="32"/>
        </w:rPr>
        <w:t>，机关各部室、各直属事业单位，各全省学会，各省辖市和济源示范区科协，各高校科协、企业科协、医疗卫生机构科协</w:t>
      </w:r>
      <w:r>
        <w:rPr>
          <w:rFonts w:hint="eastAsia" w:ascii="等线" w:hAnsi="等线" w:eastAsia="仿宋_GB2312" w:cs="仿宋_GB2312"/>
          <w:sz w:val="32"/>
          <w:szCs w:val="32"/>
        </w:rPr>
        <w:t>）</w:t>
      </w:r>
    </w:p>
    <w:p>
      <w:pPr>
        <w:numPr>
          <w:ilvl w:val="0"/>
          <w:numId w:val="0"/>
        </w:numPr>
        <w:ind w:firstLine="651"/>
        <w:rPr>
          <w:rFonts w:ascii="仿宋_GB2312" w:hAnsi="仿宋_GB2312" w:eastAsia="仿宋_GB2312" w:cs="仿宋_GB2312"/>
          <w:sz w:val="32"/>
          <w:szCs w:val="32"/>
        </w:rPr>
      </w:pPr>
      <w:r>
        <w:rPr>
          <w:rFonts w:hint="eastAsia" w:ascii="仿宋_GB2312" w:hAnsi="方正楷体_GBK" w:eastAsia="仿宋_GB2312" w:cs="方正楷体_GBK"/>
          <w:b/>
          <w:bCs/>
          <w:sz w:val="32"/>
          <w:szCs w:val="32"/>
          <w:lang w:val="en-US" w:eastAsia="zh-CN"/>
        </w:rPr>
        <w:t>6</w:t>
      </w:r>
      <w:r>
        <w:rPr>
          <w:rFonts w:hint="eastAsia" w:ascii="仿宋_GB2312" w:hAnsi="方正楷体_GBK" w:eastAsia="仿宋_GB2312" w:cs="方正楷体_GBK"/>
          <w:b/>
          <w:bCs/>
          <w:sz w:val="32"/>
          <w:szCs w:val="32"/>
        </w:rPr>
        <w:t>.打造后备人才培育平台。</w:t>
      </w:r>
      <w:r>
        <w:rPr>
          <w:rFonts w:hint="eastAsia" w:ascii="仿宋_GB2312" w:hAnsi="仿宋_GB2312" w:eastAsia="仿宋_GB2312" w:cs="仿宋_GB2312"/>
          <w:sz w:val="32"/>
          <w:szCs w:val="32"/>
        </w:rPr>
        <w:t>探索学科竞赛优秀选手早期发现和选拔机制,逐步提高我省竞赛水平。推动青少年科技创新赛事高质量发展,提升作品质量,逐步扩大青少年机器人竞赛普及面。规范高校科学营和英才计划活动,引导英才计划选手开展探究性学习。开展青少年科技精准教育试点工作,推动科协系统集聚的高端科技人才与中小学校科技教育紧密结合。</w:t>
      </w:r>
      <w:r>
        <w:rPr>
          <w:rFonts w:hint="eastAsia" w:ascii="楷体_GB2312" w:hAnsi="方正楷体_GBK" w:eastAsia="楷体_GB2312" w:cs="方正楷体_GBK"/>
          <w:sz w:val="32"/>
          <w:szCs w:val="32"/>
        </w:rPr>
        <w:t>（责任部门：省科普中心，机关各部室、各直属事业单位，各全省学会，各省辖市和济源示范区科协</w:t>
      </w:r>
      <w:r>
        <w:rPr>
          <w:rFonts w:hint="eastAsia" w:ascii="等线" w:hAnsi="等线" w:eastAsia="仿宋_GB2312" w:cs="仿宋_GB2312"/>
          <w:sz w:val="32"/>
          <w:szCs w:val="32"/>
        </w:rPr>
        <w:t>）</w:t>
      </w:r>
    </w:p>
    <w:p>
      <w:pPr>
        <w:numPr>
          <w:ilvl w:val="0"/>
          <w:numId w:val="0"/>
        </w:numPr>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三、坚持科技赋能,培育壮大我省新质生产力,为创新驱动发展增添动力</w:t>
      </w:r>
    </w:p>
    <w:p>
      <w:pPr>
        <w:numPr>
          <w:ilvl w:val="0"/>
          <w:numId w:val="0"/>
        </w:numPr>
        <w:ind w:firstLine="652"/>
        <w:rPr>
          <w:rFonts w:ascii="仿宋_GB2312" w:hAnsi="仿宋_GB2312" w:eastAsia="仿宋_GB2312" w:cs="仿宋_GB2312"/>
          <w:sz w:val="32"/>
          <w:szCs w:val="32"/>
        </w:rPr>
      </w:pPr>
      <w:r>
        <w:rPr>
          <w:rFonts w:hint="eastAsia" w:ascii="仿宋_GB2312" w:hAnsi="方正楷体_GBK" w:eastAsia="仿宋_GB2312" w:cs="方正楷体_GBK"/>
          <w:b/>
          <w:bCs/>
          <w:sz w:val="32"/>
          <w:szCs w:val="32"/>
          <w:lang w:val="en-US" w:eastAsia="zh-CN"/>
        </w:rPr>
        <w:t>7</w:t>
      </w:r>
      <w:r>
        <w:rPr>
          <w:rFonts w:hint="eastAsia" w:ascii="仿宋_GB2312" w:hAnsi="方正楷体_GBK" w:eastAsia="仿宋_GB2312" w:cs="方正楷体_GBK"/>
          <w:b/>
          <w:bCs/>
          <w:sz w:val="32"/>
          <w:szCs w:val="32"/>
        </w:rPr>
        <w:t>.持续深化“省会合作”。</w:t>
      </w:r>
      <w:r>
        <w:rPr>
          <w:rFonts w:hint="eastAsia" w:ascii="仿宋_GB2312" w:hAnsi="仿宋_GB2312" w:eastAsia="仿宋_GB2312" w:cs="仿宋_GB2312"/>
          <w:sz w:val="32"/>
          <w:szCs w:val="32"/>
        </w:rPr>
        <w:t>推动“省会合作”会商和全国创新驱动示范市建设,联合举办世界传感器大会等重要科技活动,做好中国科协院士专家地方行及国情考察活动。把“会市合作”作为推动“省会合作”向纵深推进的重要抓手,落实《关于进一步做好“会市合作”的意见》,实施“会市合作”专项,链接全国学会等创新资源,举办内涵丰富、实效凸显的“会市合作大会”,探索开展“会市合作”特色活动,实现“会市合作”有实事、有实惠、有实效,努力形成可复制、可推广的经验模式。</w:t>
      </w:r>
      <w:r>
        <w:rPr>
          <w:rFonts w:hint="eastAsia" w:ascii="楷体_GB2312" w:hAnsi="方正楷体_GBK" w:eastAsia="楷体_GB2312" w:cs="方正楷体_GBK"/>
          <w:sz w:val="32"/>
          <w:szCs w:val="32"/>
        </w:rPr>
        <w:t>（责任部门：办公室、组织人事部、学会学术部</w:t>
      </w:r>
      <w:r>
        <w:rPr>
          <w:rFonts w:hint="eastAsia" w:ascii="楷体_GB2312" w:hAnsi="方正楷体_GBK" w:eastAsia="楷体_GB2312" w:cs="方正楷体_GBK"/>
          <w:sz w:val="32"/>
          <w:szCs w:val="32"/>
          <w:lang w:eastAsia="zh-CN"/>
        </w:rPr>
        <w:t>、人才发展中心</w:t>
      </w:r>
      <w:r>
        <w:rPr>
          <w:rFonts w:hint="eastAsia" w:ascii="楷体_GB2312" w:hAnsi="方正楷体_GBK" w:eastAsia="楷体_GB2312" w:cs="方正楷体_GBK"/>
          <w:sz w:val="32"/>
          <w:szCs w:val="32"/>
        </w:rPr>
        <w:t>，机关各部室、各直属事业单位，各全省学会，各省辖市和济源示范区科协，各高校科协、企业科协、医疗卫生机构科协）</w:t>
      </w:r>
    </w:p>
    <w:p>
      <w:pPr>
        <w:numPr>
          <w:ilvl w:val="0"/>
          <w:numId w:val="0"/>
        </w:numPr>
        <w:ind w:firstLine="652"/>
        <w:rPr>
          <w:rFonts w:ascii="仿宋_GB2312" w:hAnsi="仿宋_GB2312" w:eastAsia="仿宋_GB2312" w:cs="仿宋_GB2312"/>
          <w:sz w:val="32"/>
          <w:szCs w:val="32"/>
        </w:rPr>
      </w:pPr>
      <w:r>
        <w:rPr>
          <w:rFonts w:hint="eastAsia" w:ascii="仿宋_GB2312" w:hAnsi="方正楷体_GBK" w:eastAsia="仿宋_GB2312" w:cs="方正楷体_GBK"/>
          <w:b/>
          <w:bCs/>
          <w:sz w:val="32"/>
          <w:szCs w:val="32"/>
          <w:lang w:val="en-US" w:eastAsia="zh-CN"/>
        </w:rPr>
        <w:t>8</w:t>
      </w:r>
      <w:r>
        <w:rPr>
          <w:rFonts w:hint="eastAsia" w:ascii="仿宋_GB2312" w:hAnsi="方正楷体_GBK" w:eastAsia="仿宋_GB2312" w:cs="方正楷体_GBK"/>
          <w:b/>
          <w:bCs/>
          <w:sz w:val="32"/>
          <w:szCs w:val="32"/>
        </w:rPr>
        <w:t>.推动“科创计划”贯彻落实。</w:t>
      </w:r>
      <w:r>
        <w:rPr>
          <w:rFonts w:hint="eastAsia" w:ascii="仿宋_GB2312" w:hAnsi="仿宋_GB2312" w:eastAsia="仿宋_GB2312" w:cs="仿宋_GB2312"/>
          <w:sz w:val="32"/>
          <w:szCs w:val="32"/>
        </w:rPr>
        <w:t>推动“科创计划”形成政策合力,强化上下联动,凝聚系统力量。推进“科创中原”试点城市建设,以提升区域创新能力、推动科技经济深度融合为导向,培育一批各具特色、各有优势的试点城市。支持试点城市参与“科创中国”试点市(园区)和创新驱动示范市创建,形成国家级、省级、市级试点示范三级联动工作格局。加强科创中国·河南中心建设推介,聚焦我省重点产业链,完善“问题库”“项目库”“专家库”,征集发布“先导技术、新锐企业、产学研融通组织”三大榜单,以线上共享促线下交易,打通科技与经济的“朋友圈”。实施“科创中原”金融伙伴计划,落实好与中原银行战略合作协议,强化对科技人才和科创企业的金融支持。</w:t>
      </w:r>
      <w:r>
        <w:rPr>
          <w:rFonts w:hint="eastAsia" w:ascii="楷体_GB2312" w:hAnsi="方正楷体_GBK" w:eastAsia="楷体_GB2312" w:cs="方正楷体_GBK"/>
          <w:sz w:val="32"/>
          <w:szCs w:val="32"/>
        </w:rPr>
        <w:t>（责任部门：学会学术部</w:t>
      </w:r>
      <w:r>
        <w:rPr>
          <w:rFonts w:hint="eastAsia" w:ascii="楷体_GB2312" w:hAnsi="方正楷体_GBK" w:eastAsia="楷体_GB2312" w:cs="方正楷体_GBK"/>
          <w:sz w:val="32"/>
          <w:szCs w:val="32"/>
          <w:lang w:eastAsia="zh-CN"/>
        </w:rPr>
        <w:t>、学会服务中心</w:t>
      </w:r>
      <w:r>
        <w:rPr>
          <w:rFonts w:hint="eastAsia" w:ascii="楷体_GB2312" w:hAnsi="方正楷体_GBK" w:eastAsia="楷体_GB2312" w:cs="方正楷体_GBK"/>
          <w:sz w:val="32"/>
          <w:szCs w:val="32"/>
        </w:rPr>
        <w:t>，机关各部室、各直属事业单位，各全省学会，各省辖市和济源示范区科协，各高校科协、企业科协、医疗卫生机构科协）</w:t>
      </w:r>
    </w:p>
    <w:p>
      <w:pPr>
        <w:numPr>
          <w:ilvl w:val="0"/>
          <w:numId w:val="0"/>
        </w:numPr>
        <w:ind w:firstLine="652"/>
        <w:rPr>
          <w:rFonts w:ascii="仿宋_GB2312" w:hAnsi="仿宋_GB2312" w:eastAsia="仿宋_GB2312" w:cs="仿宋_GB2312"/>
          <w:sz w:val="32"/>
          <w:szCs w:val="32"/>
        </w:rPr>
      </w:pPr>
      <w:r>
        <w:rPr>
          <w:rFonts w:hint="eastAsia" w:ascii="仿宋_GB2312" w:hAnsi="方正楷体_GBK" w:eastAsia="仿宋_GB2312" w:cs="方正楷体_GBK"/>
          <w:b/>
          <w:bCs/>
          <w:sz w:val="32"/>
          <w:szCs w:val="32"/>
          <w:lang w:val="en-US" w:eastAsia="zh-CN"/>
        </w:rPr>
        <w:t>9</w:t>
      </w:r>
      <w:r>
        <w:rPr>
          <w:rFonts w:hint="eastAsia" w:ascii="仿宋_GB2312" w:hAnsi="方正楷体_GBK" w:eastAsia="仿宋_GB2312" w:cs="方正楷体_GBK"/>
          <w:b/>
          <w:bCs/>
          <w:sz w:val="32"/>
          <w:szCs w:val="32"/>
        </w:rPr>
        <w:t>.夯实“科经融合”载体基础。</w:t>
      </w:r>
      <w:r>
        <w:rPr>
          <w:rFonts w:hint="eastAsia" w:ascii="仿宋_GB2312" w:hAnsi="仿宋_GB2312" w:eastAsia="仿宋_GB2312" w:cs="仿宋_GB2312"/>
          <w:sz w:val="32"/>
          <w:szCs w:val="32"/>
        </w:rPr>
        <w:t>打造一流学术交流平台,实施好34个一流学术平台建设计划项目,举办不少于20期“科创中原论坛”,重点办好海峡两岸暨港澳物流业大会、港澳中医药科技创新大会、第十二届学术与产业发展年会等高端品牌会议,将发展新质生产力引入学术交流的前沿阵地。健全协同创新服务平台体系,围绕我省制造业重点产业链加大组建“科创中原”协同创新联合体、“科创中原”科技服务团等创新组织力度,建设第二批“科创中原”协同创新服务平台,协同开展高水平科技攻关。构建服务产业创新活动矩阵,联合举办9场“一市一品”产业技术发展大会,拓展“百会链千企”科技志愿服务,开展河南省企业“创新达人”选树及宣讲、河南省创新方法大赛等活动,引导科协组织创新资源下沉企业端、融入产业链。</w:t>
      </w:r>
      <w:r>
        <w:rPr>
          <w:rFonts w:hint="eastAsia" w:ascii="楷体_GB2312" w:hAnsi="方正楷体_GBK" w:eastAsia="楷体_GB2312" w:cs="方正楷体_GBK"/>
          <w:sz w:val="32"/>
          <w:szCs w:val="32"/>
        </w:rPr>
        <w:t>（责任部门：学会学术部</w:t>
      </w:r>
      <w:r>
        <w:rPr>
          <w:rFonts w:hint="eastAsia" w:ascii="楷体_GB2312" w:hAnsi="方正楷体_GBK" w:eastAsia="楷体_GB2312" w:cs="方正楷体_GBK"/>
          <w:sz w:val="32"/>
          <w:szCs w:val="32"/>
          <w:lang w:eastAsia="zh-CN"/>
        </w:rPr>
        <w:t>、学会服务中心</w:t>
      </w:r>
      <w:r>
        <w:rPr>
          <w:rFonts w:hint="eastAsia" w:ascii="楷体_GB2312" w:hAnsi="方正楷体_GBK" w:eastAsia="楷体_GB2312" w:cs="方正楷体_GBK"/>
          <w:sz w:val="32"/>
          <w:szCs w:val="32"/>
        </w:rPr>
        <w:t>，机关各部室、各直属事业单位，各全省学会，各省辖市和济源示范区科协，各高校科协、企业科协、医疗卫生机构科协）</w:t>
      </w:r>
    </w:p>
    <w:p>
      <w:pPr>
        <w:numPr>
          <w:ilvl w:val="0"/>
          <w:numId w:val="0"/>
        </w:numPr>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四、坚持筑基惠民,稳步均衡提高全民科学素质,厚植建设国家创新高地沃土</w:t>
      </w:r>
    </w:p>
    <w:p>
      <w:pPr>
        <w:numPr>
          <w:ilvl w:val="0"/>
          <w:numId w:val="0"/>
        </w:numPr>
        <w:ind w:firstLine="651"/>
        <w:rPr>
          <w:rFonts w:ascii="仿宋_GB2312" w:hAnsi="仿宋_GB2312" w:eastAsia="仿宋_GB2312" w:cs="仿宋_GB2312"/>
          <w:sz w:val="32"/>
          <w:szCs w:val="32"/>
        </w:rPr>
      </w:pPr>
      <w:r>
        <w:rPr>
          <w:rFonts w:hint="eastAsia" w:ascii="仿宋_GB2312" w:hAnsi="方正楷体_GBK" w:eastAsia="仿宋_GB2312" w:cs="方正楷体_GBK"/>
          <w:b/>
          <w:bCs/>
          <w:sz w:val="32"/>
          <w:szCs w:val="32"/>
        </w:rPr>
        <w:t>1</w:t>
      </w:r>
      <w:r>
        <w:rPr>
          <w:rFonts w:hint="eastAsia" w:ascii="仿宋_GB2312" w:hAnsi="方正楷体_GBK" w:eastAsia="仿宋_GB2312" w:cs="方正楷体_GBK"/>
          <w:b/>
          <w:bCs/>
          <w:sz w:val="32"/>
          <w:szCs w:val="32"/>
          <w:lang w:val="en-US" w:eastAsia="zh-CN"/>
        </w:rPr>
        <w:t>0</w:t>
      </w:r>
      <w:r>
        <w:rPr>
          <w:rFonts w:hint="eastAsia" w:ascii="仿宋_GB2312" w:hAnsi="方正楷体_GBK" w:eastAsia="仿宋_GB2312" w:cs="方正楷体_GBK"/>
          <w:b/>
          <w:bCs/>
          <w:sz w:val="32"/>
          <w:szCs w:val="32"/>
        </w:rPr>
        <w:t>.推动构建社会化大科普格局。</w:t>
      </w:r>
      <w:r>
        <w:rPr>
          <w:rFonts w:hint="eastAsia" w:ascii="仿宋_GB2312" w:hAnsi="仿宋_GB2312" w:eastAsia="仿宋_GB2312" w:cs="仿宋_GB2312"/>
          <w:sz w:val="32"/>
          <w:szCs w:val="32"/>
        </w:rPr>
        <w:t>谋划组建科普工作联盟,主动寻求合作,深化协同联动,加强资源共享,促进科普与文化、旅游、体育等产业的融合发展,在全社会树立和强化大科普理念,构建大科普生态,形成多元主体参与、共建共治共享的现代科普治理体系。有效发挥政策合力,贯彻落实“科普十条”和“均衡意见”,发挥先进区域示范带动作用,加强后进地区科普能力建设,着力缩小区域、城乡公民科学素质差距。深化拓展全域科普试点,推动具备条件的市县加快达标科技馆建设,开展全域科普、科普示范县等工作观摩交流,总结推广新时代市县科普工作新模式。利用</w:t>
      </w:r>
      <w:r>
        <w:rPr>
          <w:rFonts w:hint="eastAsia" w:ascii="仿宋_GB2312" w:hAnsi="仿宋_GB2312" w:eastAsia="仿宋_GB2312" w:cs="仿宋_GB2312"/>
          <w:sz w:val="32"/>
          <w:szCs w:val="32"/>
          <w:lang w:eastAsia="zh-CN"/>
        </w:rPr>
        <w:t>广播电视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互联网</w:t>
      </w:r>
      <w:r>
        <w:rPr>
          <w:rFonts w:hint="eastAsia" w:ascii="仿宋_GB2312" w:hAnsi="仿宋_GB2312" w:eastAsia="仿宋_GB2312" w:cs="仿宋_GB2312"/>
          <w:sz w:val="32"/>
          <w:szCs w:val="32"/>
        </w:rPr>
        <w:t>、新媒体等开展科普宣传,增强科普立体化全媒体传播效应。</w:t>
      </w:r>
      <w:r>
        <w:rPr>
          <w:rFonts w:hint="eastAsia" w:ascii="楷体_GB2312" w:hAnsi="方正楷体_GBK" w:eastAsia="楷体_GB2312" w:cs="方正楷体_GBK"/>
          <w:sz w:val="32"/>
          <w:szCs w:val="32"/>
        </w:rPr>
        <w:t>（责任部门：</w:t>
      </w:r>
      <w:r>
        <w:rPr>
          <w:rFonts w:hint="default" w:ascii="楷体_GB2312" w:hAnsi="方正楷体_GBK" w:eastAsia="楷体_GB2312" w:cs="方正楷体_GBK"/>
          <w:sz w:val="32"/>
          <w:szCs w:val="32"/>
          <w:lang w:val="en"/>
        </w:rPr>
        <w:t>科学技术普及部</w:t>
      </w:r>
      <w:r>
        <w:rPr>
          <w:rFonts w:hint="eastAsia" w:ascii="楷体_GB2312" w:hAnsi="方正楷体_GBK" w:eastAsia="楷体_GB2312" w:cs="方正楷体_GBK"/>
          <w:sz w:val="32"/>
          <w:szCs w:val="32"/>
        </w:rPr>
        <w:t>、省科技馆</w:t>
      </w:r>
      <w:r>
        <w:rPr>
          <w:rFonts w:hint="eastAsia" w:ascii="楷体_GB2312" w:hAnsi="方正楷体_GBK" w:eastAsia="楷体_GB2312" w:cs="方正楷体_GBK"/>
          <w:sz w:val="32"/>
          <w:szCs w:val="32"/>
          <w:lang w:eastAsia="zh-CN"/>
        </w:rPr>
        <w:t>、省科普中心</w:t>
      </w:r>
      <w:r>
        <w:rPr>
          <w:rFonts w:hint="eastAsia" w:ascii="楷体_GB2312" w:hAnsi="方正楷体_GBK" w:eastAsia="楷体_GB2312" w:cs="方正楷体_GBK"/>
          <w:sz w:val="32"/>
          <w:szCs w:val="32"/>
        </w:rPr>
        <w:t>，机关各部室、各直属事业单位，各省辖市和济源示范区科协）</w:t>
      </w:r>
    </w:p>
    <w:p>
      <w:pPr>
        <w:numPr>
          <w:ilvl w:val="0"/>
          <w:numId w:val="0"/>
        </w:numPr>
        <w:ind w:firstLine="651"/>
        <w:rPr>
          <w:rFonts w:ascii="仿宋_GB2312" w:hAnsi="仿宋_GB2312" w:eastAsia="仿宋_GB2312" w:cs="仿宋_GB2312"/>
          <w:sz w:val="32"/>
          <w:szCs w:val="32"/>
        </w:rPr>
      </w:pPr>
      <w:r>
        <w:rPr>
          <w:rFonts w:hint="eastAsia" w:ascii="仿宋_GB2312" w:hAnsi="方正楷体_GBK" w:eastAsia="仿宋_GB2312" w:cs="方正楷体_GBK"/>
          <w:b/>
          <w:bCs/>
          <w:sz w:val="32"/>
          <w:szCs w:val="32"/>
          <w:lang w:val="en-US" w:eastAsia="zh-CN"/>
        </w:rPr>
        <w:t>1</w:t>
      </w:r>
      <w:r>
        <w:rPr>
          <w:rFonts w:hint="eastAsia" w:ascii="仿宋_GB2312" w:hAnsi="方正楷体_GBK" w:eastAsia="仿宋_GB2312" w:cs="方正楷体_GBK"/>
          <w:b/>
          <w:bCs/>
          <w:sz w:val="32"/>
          <w:szCs w:val="32"/>
          <w:lang w:val="en-US" w:eastAsia="zh-CN"/>
        </w:rPr>
        <w:t>1</w:t>
      </w:r>
      <w:r>
        <w:rPr>
          <w:rFonts w:hint="eastAsia" w:ascii="仿宋_GB2312" w:hAnsi="方正楷体_GBK" w:eastAsia="仿宋_GB2312" w:cs="方正楷体_GBK"/>
          <w:b/>
          <w:bCs/>
          <w:sz w:val="32"/>
          <w:szCs w:val="32"/>
        </w:rPr>
        <w:t>.增强“科普中原”品牌影响力。</w:t>
      </w:r>
      <w:r>
        <w:rPr>
          <w:rFonts w:hint="eastAsia" w:ascii="仿宋_GB2312" w:hAnsi="仿宋_GB2312" w:eastAsia="仿宋_GB2312" w:cs="仿宋_GB2312"/>
          <w:sz w:val="32"/>
          <w:szCs w:val="32"/>
        </w:rPr>
        <w:t>争取承办全国性、区域性科普活动,筹办好“科学与中国”河南行活动,吸引更多公众参与,扩大“全国科普日”等重点科普活动的覆盖面和参与度。以科普专项、重大活动为牵引,推动成员单位、各级科协、全省学会科普工作深度协同,形成“科普中原”品牌合力。以“科普中原”新媒体号、科普中原百家谈、科普中原说、科普资源库等为基础,持续打造“科普中原”传播矩阵。</w:t>
      </w:r>
      <w:r>
        <w:rPr>
          <w:rFonts w:hint="eastAsia" w:ascii="楷体_GB2312" w:hAnsi="方正楷体_GBK" w:eastAsia="楷体_GB2312" w:cs="方正楷体_GBK"/>
          <w:sz w:val="32"/>
          <w:szCs w:val="32"/>
        </w:rPr>
        <w:t>（责任部门：</w:t>
      </w:r>
      <w:r>
        <w:rPr>
          <w:rFonts w:hint="default" w:ascii="楷体_GB2312" w:hAnsi="方正楷体_GBK" w:eastAsia="楷体_GB2312" w:cs="方正楷体_GBK"/>
          <w:sz w:val="32"/>
          <w:szCs w:val="32"/>
          <w:lang w:val="en"/>
        </w:rPr>
        <w:t>科学技术普及部</w:t>
      </w:r>
      <w:r>
        <w:rPr>
          <w:rFonts w:hint="eastAsia" w:ascii="楷体_GB2312" w:hAnsi="方正楷体_GBK" w:eastAsia="楷体_GB2312" w:cs="方正楷体_GBK"/>
          <w:sz w:val="32"/>
          <w:szCs w:val="32"/>
        </w:rPr>
        <w:t>、</w:t>
      </w:r>
      <w:r>
        <w:rPr>
          <w:rFonts w:hint="eastAsia" w:ascii="楷体_GB2312" w:hAnsi="方正楷体_GBK" w:eastAsia="楷体_GB2312" w:cs="方正楷体_GBK"/>
          <w:sz w:val="32"/>
          <w:szCs w:val="32"/>
          <w:lang w:eastAsia="zh-CN"/>
        </w:rPr>
        <w:t>省科普中心</w:t>
      </w:r>
      <w:r>
        <w:rPr>
          <w:rFonts w:hint="eastAsia" w:ascii="楷体_GB2312" w:hAnsi="方正楷体_GBK" w:eastAsia="楷体_GB2312" w:cs="方正楷体_GBK"/>
          <w:sz w:val="32"/>
          <w:szCs w:val="32"/>
        </w:rPr>
        <w:t>，机关各部室、各直属事业单位）</w:t>
      </w:r>
    </w:p>
    <w:p>
      <w:pPr>
        <w:numPr>
          <w:ilvl w:val="0"/>
          <w:numId w:val="0"/>
        </w:numPr>
        <w:ind w:firstLine="651"/>
        <w:rPr>
          <w:rFonts w:ascii="仿宋_GB2312" w:hAnsi="仿宋_GB2312" w:eastAsia="仿宋_GB2312" w:cs="仿宋_GB2312"/>
          <w:sz w:val="32"/>
          <w:szCs w:val="32"/>
        </w:rPr>
      </w:pPr>
      <w:r>
        <w:rPr>
          <w:rFonts w:hint="eastAsia" w:ascii="仿宋_GB2312" w:hAnsi="方正楷体_GBK" w:eastAsia="仿宋_GB2312" w:cs="方正楷体_GBK"/>
          <w:b/>
          <w:bCs/>
          <w:sz w:val="32"/>
          <w:szCs w:val="32"/>
          <w:lang w:val="en-US" w:eastAsia="zh-CN"/>
        </w:rPr>
        <w:t>1</w:t>
      </w:r>
      <w:r>
        <w:rPr>
          <w:rFonts w:hint="eastAsia" w:ascii="仿宋_GB2312" w:hAnsi="方正楷体_GBK" w:eastAsia="仿宋_GB2312" w:cs="方正楷体_GBK"/>
          <w:b/>
          <w:bCs/>
          <w:sz w:val="32"/>
          <w:szCs w:val="32"/>
          <w:lang w:val="en-US" w:eastAsia="zh-CN"/>
        </w:rPr>
        <w:t>2</w:t>
      </w:r>
      <w:r>
        <w:rPr>
          <w:rFonts w:hint="eastAsia" w:ascii="仿宋_GB2312" w:hAnsi="方正楷体_GBK" w:eastAsia="仿宋_GB2312" w:cs="方正楷体_GBK"/>
          <w:b/>
          <w:bCs/>
          <w:sz w:val="32"/>
          <w:szCs w:val="32"/>
        </w:rPr>
        <w:t>.拓展“科普筑基惠民”价值追求。</w:t>
      </w:r>
      <w:r>
        <w:rPr>
          <w:rFonts w:hint="eastAsia" w:ascii="仿宋_GB2312" w:hAnsi="仿宋_GB2312" w:eastAsia="仿宋_GB2312" w:cs="仿宋_GB2312"/>
          <w:sz w:val="32"/>
          <w:szCs w:val="32"/>
        </w:rPr>
        <w:t>巩固拓展科普助力双减“微改革”成果,谋划举办河南省青少年科技运动会,打造助力中小学科学教育工作品牌;深化馆校合作和科普教育基地助力双减联合行动,充分利用科技馆、科普教育基地等科普场所广泛开展各类学习实践活动。创新科技资源科普化举措,发挥20个科技资源科普化项目带动作用,动员不少于200个实验室、研究中心、科研基地等在全国科普日和科技活动周期间向中小学生开放,推动高端科技资源向基层倾斜,丰富基层科学教育资源。推动科普与群众生产生活相结合,拓展“科技小院”助力乡村振兴科技志愿服务,发挥好第一批产业顾问组作用,积极申请组建第二批产业顾问组;持续开展应急科普宣教,提高公众防灾减灾意识和自救互救能力;全年开展“银龄跨越数字鸿沟”科普专项行动活动数量不少于200场,助力老年人共享智慧生活。</w:t>
      </w:r>
      <w:r>
        <w:rPr>
          <w:rFonts w:hint="eastAsia" w:ascii="楷体_GB2312" w:hAnsi="方正楷体_GBK" w:eastAsia="楷体_GB2312" w:cs="方正楷体_GBK"/>
          <w:sz w:val="32"/>
          <w:szCs w:val="32"/>
        </w:rPr>
        <w:t>（责任部门：</w:t>
      </w:r>
      <w:r>
        <w:rPr>
          <w:rFonts w:hint="default" w:ascii="楷体_GB2312" w:hAnsi="方正楷体_GBK" w:eastAsia="楷体_GB2312" w:cs="方正楷体_GBK"/>
          <w:sz w:val="32"/>
          <w:szCs w:val="32"/>
          <w:lang w:val="en"/>
        </w:rPr>
        <w:t>科学技术普及部</w:t>
      </w:r>
      <w:r>
        <w:rPr>
          <w:rFonts w:hint="eastAsia" w:ascii="楷体_GB2312" w:hAnsi="方正楷体_GBK" w:eastAsia="楷体_GB2312" w:cs="方正楷体_GBK"/>
          <w:sz w:val="32"/>
          <w:szCs w:val="32"/>
        </w:rPr>
        <w:t>、省科技馆、省科普中心，机关各部室、各直属事业单位，各省辖市和济源示范区科协）</w:t>
      </w:r>
    </w:p>
    <w:p>
      <w:pPr>
        <w:numPr>
          <w:ilvl w:val="0"/>
          <w:numId w:val="0"/>
        </w:numPr>
        <w:ind w:firstLine="651"/>
        <w:rPr>
          <w:rFonts w:ascii="仿宋_GB2312" w:hAnsi="仿宋_GB2312" w:eastAsia="仿宋_GB2312" w:cs="仿宋_GB2312"/>
          <w:sz w:val="32"/>
          <w:szCs w:val="32"/>
        </w:rPr>
      </w:pPr>
      <w:r>
        <w:rPr>
          <w:rFonts w:hint="eastAsia" w:ascii="仿宋_GB2312" w:hAnsi="方正楷体_GBK" w:eastAsia="仿宋_GB2312" w:cs="方正楷体_GBK"/>
          <w:b/>
          <w:bCs/>
          <w:sz w:val="32"/>
          <w:szCs w:val="32"/>
          <w:lang w:val="en-US" w:eastAsia="zh-CN"/>
        </w:rPr>
        <w:t>1</w:t>
      </w:r>
      <w:r>
        <w:rPr>
          <w:rFonts w:hint="eastAsia" w:ascii="仿宋_GB2312" w:hAnsi="方正楷体_GBK" w:eastAsia="仿宋_GB2312" w:cs="方正楷体_GBK"/>
          <w:b/>
          <w:bCs/>
          <w:sz w:val="32"/>
          <w:szCs w:val="32"/>
          <w:lang w:val="en-US" w:eastAsia="zh-CN"/>
        </w:rPr>
        <w:t>3</w:t>
      </w:r>
      <w:r>
        <w:rPr>
          <w:rFonts w:hint="eastAsia" w:ascii="仿宋_GB2312" w:hAnsi="方正楷体_GBK" w:eastAsia="仿宋_GB2312" w:cs="方正楷体_GBK"/>
          <w:b/>
          <w:bCs/>
          <w:sz w:val="32"/>
          <w:szCs w:val="32"/>
        </w:rPr>
        <w:t>.全面建成省科技馆新馆并正式运行。</w:t>
      </w:r>
      <w:r>
        <w:rPr>
          <w:rFonts w:hint="eastAsia" w:ascii="仿宋_GB2312" w:hAnsi="仿宋_GB2312" w:eastAsia="仿宋_GB2312" w:cs="仿宋_GB2312"/>
          <w:sz w:val="32"/>
          <w:szCs w:val="32"/>
        </w:rPr>
        <w:t>保质保量完成建筑工程交接验收,有力有序完成展教工程建设,确保年内全面建成、全面开放,全年接待公众不少于200万人次。锚定“国际一流国内领先”建馆目标,争取在展品展项开发、标志性活动打造上取得突破,努力成为全国现代科技馆体系中的示范性场馆。</w:t>
      </w:r>
      <w:r>
        <w:rPr>
          <w:rFonts w:hint="eastAsia" w:ascii="楷体_GB2312" w:hAnsi="方正楷体_GBK" w:eastAsia="楷体_GB2312" w:cs="方正楷体_GBK"/>
          <w:sz w:val="32"/>
          <w:szCs w:val="32"/>
        </w:rPr>
        <w:t>（责任部门：省科技馆，机关各部室、各直属事业单位）</w:t>
      </w:r>
    </w:p>
    <w:p>
      <w:pPr>
        <w:numPr>
          <w:ilvl w:val="0"/>
          <w:numId w:val="0"/>
        </w:numPr>
        <w:ind w:firstLine="651"/>
        <w:rPr>
          <w:rFonts w:ascii="仿宋_GB2312" w:hAnsi="仿宋_GB2312" w:eastAsia="仿宋_GB2312" w:cs="仿宋_GB2312"/>
          <w:sz w:val="32"/>
          <w:szCs w:val="32"/>
        </w:rPr>
      </w:pPr>
      <w:r>
        <w:rPr>
          <w:rFonts w:hint="eastAsia" w:ascii="仿宋_GB2312" w:hAnsi="方正楷体_GBK" w:eastAsia="仿宋_GB2312" w:cs="方正楷体_GBK"/>
          <w:b/>
          <w:bCs/>
          <w:sz w:val="32"/>
          <w:szCs w:val="32"/>
          <w:lang w:val="en-US" w:eastAsia="zh-CN"/>
        </w:rPr>
        <w:t>14.推进现代科技馆体系建设。</w:t>
      </w:r>
      <w:r>
        <w:rPr>
          <w:rFonts w:hint="eastAsia" w:ascii="仿宋_GB2312" w:hAnsi="仿宋_GB2312" w:eastAsia="仿宋_GB2312" w:cs="仿宋_GB2312"/>
          <w:sz w:val="32"/>
          <w:szCs w:val="32"/>
        </w:rPr>
        <w:t>进一步发挥好省科技馆新馆龙头带动作用,联动推进市县科技馆立项建设和高水平运行,用好流动科技馆、科普大篷车、农村中学科技馆、数字科技馆等科普阵地,加快建设全省现代科技馆体系。</w:t>
      </w:r>
      <w:r>
        <w:rPr>
          <w:rFonts w:hint="eastAsia" w:ascii="楷体_GB2312" w:hAnsi="方正楷体_GBK" w:eastAsia="楷体_GB2312" w:cs="方正楷体_GBK"/>
          <w:sz w:val="32"/>
          <w:szCs w:val="32"/>
        </w:rPr>
        <w:t>（责任部门：</w:t>
      </w:r>
      <w:r>
        <w:rPr>
          <w:rFonts w:hint="eastAsia" w:ascii="楷体_GB2312" w:hAnsi="方正楷体_GBK" w:eastAsia="楷体_GB2312" w:cs="方正楷体_GBK"/>
          <w:sz w:val="32"/>
          <w:szCs w:val="32"/>
          <w:lang w:eastAsia="zh-CN"/>
        </w:rPr>
        <w:t>科学技术普及部、</w:t>
      </w:r>
      <w:r>
        <w:rPr>
          <w:rFonts w:hint="eastAsia" w:ascii="楷体_GB2312" w:hAnsi="方正楷体_GBK" w:eastAsia="楷体_GB2312" w:cs="方正楷体_GBK"/>
          <w:sz w:val="32"/>
          <w:szCs w:val="32"/>
        </w:rPr>
        <w:t>省科技馆，机关各部室、各直属事业单位）</w:t>
      </w:r>
    </w:p>
    <w:p>
      <w:pPr>
        <w:numPr>
          <w:ilvl w:val="0"/>
          <w:numId w:val="0"/>
        </w:num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黑体" w:hAnsi="黑体" w:eastAsia="黑体" w:cs="黑体"/>
          <w:sz w:val="32"/>
          <w:szCs w:val="32"/>
        </w:rPr>
        <w:t xml:space="preserve"> </w:t>
      </w:r>
      <w:r>
        <w:rPr>
          <w:rFonts w:hint="eastAsia" w:ascii="黑体" w:hAnsi="黑体" w:eastAsia="黑体" w:cs="黑体"/>
          <w:sz w:val="32"/>
          <w:szCs w:val="32"/>
        </w:rPr>
        <w:t>五、坚持前瞻引领,持续提升科技智库建设水平,凝智聚力服务党和政府科学决策</w:t>
      </w:r>
    </w:p>
    <w:p>
      <w:pPr>
        <w:numPr>
          <w:ilvl w:val="0"/>
          <w:numId w:val="0"/>
        </w:numPr>
        <w:ind w:firstLine="651"/>
        <w:rPr>
          <w:rFonts w:ascii="仿宋_GB2312" w:hAnsi="仿宋_GB2312" w:eastAsia="仿宋_GB2312" w:cs="仿宋_GB2312"/>
          <w:sz w:val="32"/>
          <w:szCs w:val="32"/>
        </w:rPr>
      </w:pPr>
      <w:r>
        <w:rPr>
          <w:rFonts w:hint="eastAsia" w:ascii="仿宋_GB2312" w:hAnsi="方正楷体_GBK" w:eastAsia="仿宋_GB2312" w:cs="方正楷体_GBK"/>
          <w:b/>
          <w:bCs/>
          <w:sz w:val="32"/>
          <w:szCs w:val="32"/>
        </w:rPr>
        <w:t>1</w:t>
      </w:r>
      <w:r>
        <w:rPr>
          <w:rFonts w:hint="eastAsia" w:ascii="仿宋_GB2312" w:hAnsi="方正楷体_GBK" w:eastAsia="仿宋_GB2312" w:cs="方正楷体_GBK"/>
          <w:b/>
          <w:bCs/>
          <w:sz w:val="32"/>
          <w:szCs w:val="32"/>
          <w:lang w:val="en-US" w:eastAsia="zh-CN"/>
        </w:rPr>
        <w:t>5</w:t>
      </w:r>
      <w:r>
        <w:rPr>
          <w:rFonts w:hint="eastAsia" w:ascii="仿宋_GB2312" w:hAnsi="方正楷体_GBK" w:eastAsia="仿宋_GB2312" w:cs="方正楷体_GBK"/>
          <w:b/>
          <w:bCs/>
          <w:sz w:val="32"/>
          <w:szCs w:val="32"/>
        </w:rPr>
        <w:t>.打造专业领域科技智库。</w:t>
      </w:r>
      <w:r>
        <w:rPr>
          <w:rFonts w:hint="eastAsia" w:ascii="仿宋_GB2312" w:hAnsi="仿宋_GB2312" w:eastAsia="仿宋_GB2312" w:cs="仿宋_GB2312"/>
          <w:sz w:val="32"/>
          <w:szCs w:val="32"/>
        </w:rPr>
        <w:t>落实落细“省院合作”,聚焦我省重大战略需求,组织省内外院士参与开展前沿性、针对性、储备性重大战略研究,把中国工程科技发展战略河南研究院打造成为中部地区一流工程科技智库,力争突破一批制约河南产业转型升级和经济社会发展的重大工程科技问题。发挥政协科协界别作用,凝聚科协界别委员和科技工作者智慧,提升建言资政水平,以提案办理为抓手,推动科技创新相关问题有效解决。推动《农家参谋》向学术化转型,构建农业领域科研论文和科技信息高端交流平台。</w:t>
      </w:r>
      <w:r>
        <w:rPr>
          <w:rFonts w:hint="eastAsia" w:ascii="楷体_GB2312" w:hAnsi="方正楷体_GBK" w:eastAsia="楷体_GB2312" w:cs="方正楷体_GBK"/>
          <w:sz w:val="32"/>
          <w:szCs w:val="32"/>
        </w:rPr>
        <w:t>（责任部门：</w:t>
      </w:r>
      <w:r>
        <w:rPr>
          <w:rFonts w:hint="eastAsia" w:ascii="楷体_GB2312" w:hAnsi="方正楷体_GBK" w:eastAsia="楷体_GB2312" w:cs="方正楷体_GBK"/>
          <w:sz w:val="32"/>
          <w:szCs w:val="32"/>
          <w:lang w:eastAsia="zh-CN"/>
        </w:rPr>
        <w:t>办公室、</w:t>
      </w:r>
      <w:r>
        <w:rPr>
          <w:rFonts w:hint="eastAsia" w:ascii="楷体_GB2312" w:hAnsi="方正楷体_GBK" w:eastAsia="楷体_GB2312" w:cs="方正楷体_GBK"/>
          <w:sz w:val="32"/>
          <w:szCs w:val="32"/>
        </w:rPr>
        <w:t>组织人事部、</w:t>
      </w:r>
      <w:r>
        <w:rPr>
          <w:rFonts w:hint="eastAsia" w:ascii="楷体_GB2312" w:hAnsi="方正楷体_GBK" w:eastAsia="楷体_GB2312" w:cs="方正楷体_GBK"/>
          <w:sz w:val="32"/>
          <w:szCs w:val="32"/>
          <w:lang w:eastAsia="zh-CN"/>
        </w:rPr>
        <w:t>报刊编辑部</w:t>
      </w:r>
      <w:r>
        <w:rPr>
          <w:rFonts w:hint="eastAsia" w:ascii="楷体_GB2312" w:hAnsi="方正楷体_GBK" w:eastAsia="楷体_GB2312" w:cs="方正楷体_GBK"/>
          <w:sz w:val="32"/>
          <w:szCs w:val="32"/>
        </w:rPr>
        <w:t>，机关各部室、各直属事业单位，各全省学会，各省辖市和济源示范区科协，各高校科协、企业科协、医疗卫生机构科协）</w:t>
      </w:r>
    </w:p>
    <w:p>
      <w:pPr>
        <w:numPr>
          <w:ilvl w:val="0"/>
          <w:numId w:val="0"/>
        </w:numPr>
        <w:ind w:firstLine="651"/>
        <w:rPr>
          <w:rFonts w:ascii="仿宋_GB2312" w:hAnsi="仿宋_GB2312" w:eastAsia="仿宋_GB2312" w:cs="仿宋_GB2312"/>
          <w:sz w:val="32"/>
          <w:szCs w:val="32"/>
        </w:rPr>
      </w:pPr>
      <w:r>
        <w:rPr>
          <w:rFonts w:hint="eastAsia" w:ascii="仿宋_GB2312" w:hAnsi="方正楷体_GBK" w:eastAsia="仿宋_GB2312" w:cs="方正楷体_GBK"/>
          <w:b/>
          <w:bCs/>
          <w:sz w:val="32"/>
          <w:szCs w:val="32"/>
          <w:lang w:val="en-US" w:eastAsia="zh-CN"/>
        </w:rPr>
        <w:t>1</w:t>
      </w:r>
      <w:r>
        <w:rPr>
          <w:rFonts w:hint="eastAsia" w:ascii="仿宋_GB2312" w:hAnsi="方正楷体_GBK" w:eastAsia="仿宋_GB2312" w:cs="方正楷体_GBK"/>
          <w:b/>
          <w:bCs/>
          <w:sz w:val="32"/>
          <w:szCs w:val="32"/>
          <w:lang w:val="en-US" w:eastAsia="zh-CN"/>
        </w:rPr>
        <w:t>6</w:t>
      </w:r>
      <w:r>
        <w:rPr>
          <w:rFonts w:hint="eastAsia" w:ascii="仿宋_GB2312" w:hAnsi="方正楷体_GBK" w:eastAsia="仿宋_GB2312" w:cs="方正楷体_GBK"/>
          <w:b/>
          <w:bCs/>
          <w:sz w:val="32"/>
          <w:szCs w:val="32"/>
        </w:rPr>
        <w:t>.加强河南科技智库建设。</w:t>
      </w:r>
      <w:r>
        <w:rPr>
          <w:rFonts w:hint="eastAsia" w:ascii="仿宋_GB2312" w:hAnsi="仿宋_GB2312" w:eastAsia="仿宋_GB2312" w:cs="仿宋_GB2312"/>
          <w:sz w:val="32"/>
          <w:szCs w:val="32"/>
        </w:rPr>
        <w:t>常态化做好河南科技智库调研课题征集、立项、开题、中期评估、结项等工作,凝练形成高水平决策咨询专报。细化智库研究基地考核评估标准,指导基地围绕研究领域举办多种方式的学术交流活动,举办10场以上高端智库论坛,打造智库论坛品牌。充实壮大河南科技智库核心专家团队,全年新增智库专家不少于20名。进一步发挥调查站点作用,更好反映科技工作者的意见诉求。推动形成“小中心、大外围”的智库体系,持续提升服务党和政府科学决策能力。</w:t>
      </w:r>
      <w:r>
        <w:rPr>
          <w:rFonts w:hint="eastAsia" w:ascii="楷体_GB2312" w:hAnsi="方正楷体_GBK" w:eastAsia="楷体_GB2312" w:cs="方正楷体_GBK"/>
          <w:sz w:val="32"/>
          <w:szCs w:val="32"/>
        </w:rPr>
        <w:t>（责任部门：调研宣传部</w:t>
      </w:r>
      <w:r>
        <w:rPr>
          <w:rFonts w:hint="eastAsia" w:ascii="楷体_GB2312" w:hAnsi="方正楷体_GBK" w:eastAsia="楷体_GB2312" w:cs="方正楷体_GBK"/>
          <w:sz w:val="32"/>
          <w:szCs w:val="32"/>
          <w:lang w:eastAsia="zh-CN"/>
        </w:rPr>
        <w:t>、人才发展中心</w:t>
      </w:r>
      <w:r>
        <w:rPr>
          <w:rFonts w:hint="eastAsia" w:ascii="楷体_GB2312" w:hAnsi="方正楷体_GBK" w:eastAsia="楷体_GB2312" w:cs="方正楷体_GBK"/>
          <w:sz w:val="32"/>
          <w:szCs w:val="32"/>
        </w:rPr>
        <w:t>，机关各部室、各直属事业单位，各全省学会，各省辖市和济源示范区科协，各高校科协、企业科协、医疗卫生机构科协）</w:t>
      </w:r>
    </w:p>
    <w:p>
      <w:pPr>
        <w:numPr>
          <w:ilvl w:val="0"/>
          <w:numId w:val="0"/>
        </w:numPr>
        <w:rPr>
          <w:rFonts w:ascii="黑体" w:hAnsi="黑体" w:eastAsia="黑体" w:cs="黑体"/>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六、坚持守正创新,切实增强履职尽责能力,建设朝气蓬勃的人民团体</w:t>
      </w:r>
    </w:p>
    <w:p>
      <w:pPr>
        <w:numPr>
          <w:ilvl w:val="0"/>
          <w:numId w:val="0"/>
        </w:numPr>
        <w:ind w:firstLine="652"/>
        <w:rPr>
          <w:rFonts w:ascii="仿宋_GB2312" w:hAnsi="仿宋_GB2312" w:eastAsia="仿宋_GB2312" w:cs="仿宋_GB2312"/>
          <w:sz w:val="32"/>
          <w:szCs w:val="32"/>
        </w:rPr>
      </w:pPr>
      <w:r>
        <w:rPr>
          <w:rFonts w:hint="eastAsia" w:ascii="仿宋_GB2312" w:hAnsi="方正楷体_GBK" w:eastAsia="仿宋_GB2312" w:cs="方正楷体_GBK"/>
          <w:b/>
          <w:bCs/>
          <w:sz w:val="32"/>
          <w:szCs w:val="32"/>
        </w:rPr>
        <w:t>1</w:t>
      </w:r>
      <w:r>
        <w:rPr>
          <w:rFonts w:hint="eastAsia" w:ascii="仿宋_GB2312" w:hAnsi="方正楷体_GBK" w:eastAsia="仿宋_GB2312" w:cs="方正楷体_GBK"/>
          <w:b/>
          <w:bCs/>
          <w:sz w:val="32"/>
          <w:szCs w:val="32"/>
          <w:lang w:val="en-US" w:eastAsia="zh-CN"/>
        </w:rPr>
        <w:t>7</w:t>
      </w:r>
      <w:r>
        <w:rPr>
          <w:rFonts w:hint="eastAsia" w:ascii="仿宋_GB2312" w:hAnsi="方正楷体_GBK" w:eastAsia="仿宋_GB2312" w:cs="方正楷体_GBK"/>
          <w:b/>
          <w:bCs/>
          <w:sz w:val="32"/>
          <w:szCs w:val="32"/>
        </w:rPr>
        <w:t>.加强党对科协工作的全面领导。</w:t>
      </w:r>
      <w:r>
        <w:rPr>
          <w:rFonts w:hint="eastAsia" w:ascii="仿宋_GB2312" w:hAnsi="仿宋_GB2312" w:eastAsia="仿宋_GB2312" w:cs="仿宋_GB2312"/>
          <w:sz w:val="32"/>
          <w:szCs w:val="32"/>
        </w:rPr>
        <w:t>坚持把党的政治建设摆在首位,坚持“强三性”,深化“大党建”工作格局,不断强化政治引领和政治机关建设,有效激发“一体两翼”组织活力。深入贯彻落实《科协条例》,为科协事业健康发展提供更好法治保障。实施“正风肃纪·护航发展”行动,推动党风廉政建设持续走深走实。建设高素质干部队伍,加强干部培训,举办全省科协系统干部能力提升培训班。提升信息化水平,推进智慧科协建设。加强机关平安建设,牢固树立总体国家安全观，落细落实国家安全、信访稳定、安全生产、防灾减灾、消防安全</w:t>
      </w:r>
      <w:r>
        <w:rPr>
          <w:rFonts w:hint="eastAsia" w:ascii="仿宋_GB2312" w:hAnsi="仿宋_GB2312" w:eastAsia="仿宋_GB2312" w:cs="仿宋_GB2312"/>
          <w:sz w:val="32"/>
          <w:szCs w:val="32"/>
          <w:lang w:eastAsia="zh-CN"/>
        </w:rPr>
        <w:t>、食品安全</w:t>
      </w:r>
      <w:r>
        <w:rPr>
          <w:rFonts w:hint="eastAsia" w:ascii="仿宋_GB2312" w:hAnsi="仿宋_GB2312" w:eastAsia="仿宋_GB2312" w:cs="仿宋_GB2312"/>
          <w:sz w:val="32"/>
          <w:szCs w:val="32"/>
        </w:rPr>
        <w:t>等各项措施，常态化排查化解各类风险隐患，实现“零上访、零事故、零案件”目标。加强内部审计,确保资金使用的规范性和透明度。增强科协组织凝聚力,积极推进科协融媒建设,推进“一报一刊”改革,推进省科协网站改版升级,整合全省科协系统宣传资源和力量,实现同频共振。发挥反邪教协会作用,为全省平安大局作出贡献。发挥老科技工作者作用,开展银龄五大行动,积极助力经济社会发展。</w:t>
      </w:r>
      <w:r>
        <w:rPr>
          <w:rFonts w:hint="eastAsia" w:ascii="楷体_GB2312" w:hAnsi="方正楷体_GBK" w:eastAsia="楷体_GB2312" w:cs="方正楷体_GBK"/>
          <w:sz w:val="32"/>
          <w:szCs w:val="32"/>
        </w:rPr>
        <w:t>（责任部门：机关各部室、各直属事业单位，各全省学会，各省辖市和济源示范区科协，各高校科协、企业科协、医疗卫生机构科协）</w:t>
      </w:r>
    </w:p>
    <w:p>
      <w:pPr>
        <w:numPr>
          <w:ilvl w:val="0"/>
          <w:numId w:val="0"/>
        </w:numPr>
        <w:ind w:firstLine="652"/>
        <w:rPr>
          <w:rFonts w:ascii="仿宋_GB2312" w:hAnsi="仿宋_GB2312" w:eastAsia="仿宋_GB2312" w:cs="仿宋_GB2312"/>
          <w:sz w:val="32"/>
          <w:szCs w:val="32"/>
        </w:rPr>
      </w:pPr>
      <w:r>
        <w:rPr>
          <w:rFonts w:hint="eastAsia" w:ascii="仿宋_GB2312" w:hAnsi="方正楷体_GBK" w:eastAsia="仿宋_GB2312" w:cs="方正楷体_GBK"/>
          <w:b/>
          <w:bCs/>
          <w:sz w:val="32"/>
          <w:szCs w:val="32"/>
          <w:lang w:val="en-US" w:eastAsia="zh-CN"/>
        </w:rPr>
        <w:t>1</w:t>
      </w:r>
      <w:r>
        <w:rPr>
          <w:rFonts w:hint="eastAsia" w:ascii="仿宋_GB2312" w:hAnsi="方正楷体_GBK" w:eastAsia="仿宋_GB2312" w:cs="方正楷体_GBK"/>
          <w:b/>
          <w:bCs/>
          <w:sz w:val="32"/>
          <w:szCs w:val="32"/>
          <w:lang w:val="en-US" w:eastAsia="zh-CN"/>
        </w:rPr>
        <w:t>8</w:t>
      </w:r>
      <w:r>
        <w:rPr>
          <w:rFonts w:hint="eastAsia" w:ascii="仿宋_GB2312" w:hAnsi="方正楷体_GBK" w:eastAsia="仿宋_GB2312" w:cs="方正楷体_GBK"/>
          <w:b/>
          <w:bCs/>
          <w:sz w:val="32"/>
          <w:szCs w:val="32"/>
        </w:rPr>
        <w:t>.持续夯实科协基层组织基础。</w:t>
      </w:r>
      <w:r>
        <w:rPr>
          <w:rFonts w:hint="eastAsia" w:ascii="仿宋_GB2312" w:hAnsi="仿宋_GB2312" w:eastAsia="仿宋_GB2312" w:cs="仿宋_GB2312"/>
          <w:sz w:val="32"/>
          <w:szCs w:val="32"/>
        </w:rPr>
        <w:t>进一步优化学会布局,实施一流学会建设计划,完善全省学会综合评价体系,打造一批先进学会样板;围绕我省重点产业、优势学科和前沿新兴交叉领域推动成立新学会。进一步扩大科协组织覆盖,加大民办高校、医疗卫生机构,新组建的实验室、产业研究院、中试基地等新型研发机构,中央在豫企业和省属国有企业、大型民营企业的科协组织建设力度。进一步推进科协组织接长手臂,积极吸纳“三长”进入县乡科协兼职挂职。</w:t>
      </w:r>
      <w:r>
        <w:rPr>
          <w:rFonts w:hint="eastAsia" w:ascii="楷体_GB2312" w:hAnsi="方正楷体_GBK" w:eastAsia="楷体_GB2312" w:cs="方正楷体_GBK"/>
          <w:sz w:val="32"/>
          <w:szCs w:val="32"/>
        </w:rPr>
        <w:t>（责任部门：</w:t>
      </w:r>
      <w:r>
        <w:rPr>
          <w:rFonts w:hint="eastAsia" w:ascii="楷体_GB2312" w:hAnsi="方正楷体_GBK" w:eastAsia="楷体_GB2312" w:cs="方正楷体_GBK"/>
          <w:sz w:val="32"/>
          <w:szCs w:val="32"/>
          <w:lang w:eastAsia="zh-CN"/>
        </w:rPr>
        <w:t>组织人事部、</w:t>
      </w:r>
      <w:r>
        <w:rPr>
          <w:rFonts w:hint="eastAsia" w:ascii="楷体_GB2312" w:hAnsi="方正楷体_GBK" w:eastAsia="楷体_GB2312" w:cs="方正楷体_GBK"/>
          <w:sz w:val="32"/>
          <w:szCs w:val="32"/>
        </w:rPr>
        <w:t>学会学术部，机关各部室、各直属事业单位，各全省学会，各省辖市和济源示范区科协，各高校科协、企业科协、医疗卫生机构科协）</w:t>
      </w:r>
    </w:p>
    <w:p>
      <w:pPr>
        <w:numPr>
          <w:ilvl w:val="0"/>
          <w:numId w:val="0"/>
        </w:numPr>
        <w:ind w:firstLine="652"/>
        <w:rPr>
          <w:rFonts w:hint="eastAsia" w:ascii="方正楷体_GBK" w:hAnsi="方正楷体_GBK" w:eastAsia="方正楷体_GBK" w:cs="方正楷体_GBK"/>
          <w:sz w:val="32"/>
          <w:szCs w:val="32"/>
        </w:rPr>
      </w:pPr>
      <w:r>
        <w:rPr>
          <w:rFonts w:hint="eastAsia" w:ascii="仿宋_GB2312" w:hAnsi="方正楷体_GBK" w:eastAsia="仿宋_GB2312" w:cs="方正楷体_GBK"/>
          <w:b/>
          <w:bCs/>
          <w:sz w:val="32"/>
          <w:szCs w:val="32"/>
          <w:lang w:val="en-US" w:eastAsia="zh-CN"/>
        </w:rPr>
        <w:t>1</w:t>
      </w:r>
      <w:r>
        <w:rPr>
          <w:rFonts w:hint="eastAsia" w:ascii="仿宋_GB2312" w:hAnsi="方正楷体_GBK" w:eastAsia="仿宋_GB2312" w:cs="方正楷体_GBK"/>
          <w:b/>
          <w:bCs/>
          <w:sz w:val="32"/>
          <w:szCs w:val="32"/>
          <w:lang w:val="en-US" w:eastAsia="zh-CN"/>
        </w:rPr>
        <w:t>9</w:t>
      </w:r>
      <w:r>
        <w:rPr>
          <w:rFonts w:hint="eastAsia" w:ascii="仿宋_GB2312" w:hAnsi="方正楷体_GBK" w:eastAsia="仿宋_GB2312" w:cs="方正楷体_GBK"/>
          <w:b/>
          <w:bCs/>
          <w:sz w:val="32"/>
          <w:szCs w:val="32"/>
        </w:rPr>
        <w:t>.筹备召开河南省科协第十次代表大会。</w:t>
      </w:r>
      <w:r>
        <w:rPr>
          <w:rFonts w:hint="eastAsia" w:ascii="仿宋_GB2312" w:hAnsi="仿宋_GB2312" w:eastAsia="仿宋_GB2312" w:cs="仿宋_GB2312"/>
          <w:sz w:val="32"/>
          <w:szCs w:val="32"/>
        </w:rPr>
        <w:t>高质量做好大会各项筹备工作,高标准完成学习贯彻习近平新时代中国特色社会主义思想和党的二十大精神、审议和通过省科协第九届委员会工作报告、选举产生省科协第十届委员会、表彰全省科协系统先进集体和先进工作者等主要任务,凝聚科技力量,推动创新发展。推动出台关于加强新时代科协工作的意见,为新时代科协事业创新发展提供更好政策支撑。</w:t>
      </w:r>
      <w:r>
        <w:rPr>
          <w:rFonts w:hint="eastAsia" w:ascii="楷体_GB2312" w:hAnsi="方正楷体_GBK" w:eastAsia="楷体_GB2312" w:cs="方正楷体_GBK"/>
          <w:sz w:val="32"/>
          <w:szCs w:val="32"/>
        </w:rPr>
        <w:t>（责任部门：办公室</w:t>
      </w:r>
      <w:r>
        <w:rPr>
          <w:rFonts w:hint="eastAsia" w:ascii="楷体_GB2312" w:hAnsi="方正楷体_GBK" w:eastAsia="楷体_GB2312" w:cs="方正楷体_GBK"/>
          <w:sz w:val="32"/>
          <w:szCs w:val="32"/>
          <w:lang w:eastAsia="zh-CN"/>
        </w:rPr>
        <w:t>、组织人事部</w:t>
      </w:r>
      <w:r>
        <w:rPr>
          <w:rFonts w:hint="eastAsia" w:ascii="楷体_GB2312" w:hAnsi="方正楷体_GBK" w:eastAsia="楷体_GB2312" w:cs="方正楷体_GBK"/>
          <w:sz w:val="32"/>
          <w:szCs w:val="32"/>
        </w:rPr>
        <w:t>，机关各部室、各直属事业单位，各全省学会，各省辖市和济源示范区科协，各高校科协、企业科协、医疗卫生机构科协）</w:t>
      </w:r>
    </w:p>
    <w:sectPr>
      <w:footerReference r:id="rId3" w:type="default"/>
      <w:pgSz w:w="11906" w:h="16838"/>
      <w:pgMar w:top="1757" w:right="1361" w:bottom="1757" w:left="1474"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auto"/>
    <w:pitch w:val="default"/>
    <w:sig w:usb0="00000001" w:usb1="080E0000" w:usb2="00000000" w:usb3="00000000" w:csb0="00040000" w:csb1="00000000"/>
  </w:font>
  <w:font w:name="方正小标宋_GBK">
    <w:altName w:val="Arial Unicode MS"/>
    <w:panose1 w:val="02000000000000000000"/>
    <w:charset w:val="86"/>
    <w:family w:val="auto"/>
    <w:pitch w:val="default"/>
    <w:sig w:usb0="00000001" w:usb1="08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楷体_GBK">
    <w:altName w:val="Arial Unicode MS"/>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0"/>
  <w:bordersDoNotSurroundFooter w:val="0"/>
  <w:documentProtection w:enforcement="0"/>
  <w:defaultTabStop w:val="420"/>
  <w:hyphenationZone w:val="360"/>
  <w:drawingGridHorizontalSpacing w:val="105"/>
  <w:drawingGridVerticalSpacing w:val="31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5AD2F"/>
    <w:rsid w:val="000012AB"/>
    <w:rsid w:val="000116E6"/>
    <w:rsid w:val="00035445"/>
    <w:rsid w:val="00066319"/>
    <w:rsid w:val="00073FB2"/>
    <w:rsid w:val="00097986"/>
    <w:rsid w:val="000A0A57"/>
    <w:rsid w:val="000A721B"/>
    <w:rsid w:val="000B258E"/>
    <w:rsid w:val="000E2D4E"/>
    <w:rsid w:val="000E72E8"/>
    <w:rsid w:val="00110A4F"/>
    <w:rsid w:val="00114FF5"/>
    <w:rsid w:val="0012773F"/>
    <w:rsid w:val="00133B2D"/>
    <w:rsid w:val="00155B32"/>
    <w:rsid w:val="00164741"/>
    <w:rsid w:val="0019795A"/>
    <w:rsid w:val="001A350E"/>
    <w:rsid w:val="00204306"/>
    <w:rsid w:val="002044C0"/>
    <w:rsid w:val="00212AA7"/>
    <w:rsid w:val="00223D88"/>
    <w:rsid w:val="0025370D"/>
    <w:rsid w:val="002540D9"/>
    <w:rsid w:val="002672A0"/>
    <w:rsid w:val="00273C43"/>
    <w:rsid w:val="00280F05"/>
    <w:rsid w:val="00283D23"/>
    <w:rsid w:val="002B2FCB"/>
    <w:rsid w:val="002B6E25"/>
    <w:rsid w:val="002D294D"/>
    <w:rsid w:val="002D2F8A"/>
    <w:rsid w:val="002D6B37"/>
    <w:rsid w:val="002E0492"/>
    <w:rsid w:val="003020C7"/>
    <w:rsid w:val="00312AC9"/>
    <w:rsid w:val="00332FB7"/>
    <w:rsid w:val="00343B2D"/>
    <w:rsid w:val="00355557"/>
    <w:rsid w:val="003A0430"/>
    <w:rsid w:val="003B13A3"/>
    <w:rsid w:val="003E2998"/>
    <w:rsid w:val="003F1811"/>
    <w:rsid w:val="00402E8F"/>
    <w:rsid w:val="00402FA8"/>
    <w:rsid w:val="0042776D"/>
    <w:rsid w:val="0043352E"/>
    <w:rsid w:val="004350F3"/>
    <w:rsid w:val="00444F74"/>
    <w:rsid w:val="0045526E"/>
    <w:rsid w:val="00481274"/>
    <w:rsid w:val="00487976"/>
    <w:rsid w:val="00494AC4"/>
    <w:rsid w:val="00497365"/>
    <w:rsid w:val="004B02FF"/>
    <w:rsid w:val="004B1662"/>
    <w:rsid w:val="004C3443"/>
    <w:rsid w:val="004C51C6"/>
    <w:rsid w:val="004D096E"/>
    <w:rsid w:val="004E0C59"/>
    <w:rsid w:val="004F097A"/>
    <w:rsid w:val="00502D9B"/>
    <w:rsid w:val="00506FF3"/>
    <w:rsid w:val="0053255B"/>
    <w:rsid w:val="005428C5"/>
    <w:rsid w:val="0056728B"/>
    <w:rsid w:val="00584A29"/>
    <w:rsid w:val="005A18B9"/>
    <w:rsid w:val="005A2651"/>
    <w:rsid w:val="005B22F3"/>
    <w:rsid w:val="005B29B4"/>
    <w:rsid w:val="005B2CEF"/>
    <w:rsid w:val="005C6D82"/>
    <w:rsid w:val="005E3A8C"/>
    <w:rsid w:val="00613EE4"/>
    <w:rsid w:val="00626A8F"/>
    <w:rsid w:val="00636457"/>
    <w:rsid w:val="00642518"/>
    <w:rsid w:val="006656BC"/>
    <w:rsid w:val="006831E0"/>
    <w:rsid w:val="007061AF"/>
    <w:rsid w:val="00723023"/>
    <w:rsid w:val="00734485"/>
    <w:rsid w:val="00767FED"/>
    <w:rsid w:val="0077650A"/>
    <w:rsid w:val="00784D71"/>
    <w:rsid w:val="00790CC0"/>
    <w:rsid w:val="007976AA"/>
    <w:rsid w:val="007A1405"/>
    <w:rsid w:val="007A3F41"/>
    <w:rsid w:val="007A7EBE"/>
    <w:rsid w:val="007C5D1F"/>
    <w:rsid w:val="007D5CF4"/>
    <w:rsid w:val="008304B9"/>
    <w:rsid w:val="0086163F"/>
    <w:rsid w:val="00896D51"/>
    <w:rsid w:val="008C1E7C"/>
    <w:rsid w:val="008D79B3"/>
    <w:rsid w:val="0095588B"/>
    <w:rsid w:val="00957199"/>
    <w:rsid w:val="009A0C74"/>
    <w:rsid w:val="009B52C9"/>
    <w:rsid w:val="009D7DD9"/>
    <w:rsid w:val="009E05EA"/>
    <w:rsid w:val="009E2C74"/>
    <w:rsid w:val="009E6633"/>
    <w:rsid w:val="00A02EC7"/>
    <w:rsid w:val="00A20115"/>
    <w:rsid w:val="00A34E15"/>
    <w:rsid w:val="00A36DBD"/>
    <w:rsid w:val="00A441ED"/>
    <w:rsid w:val="00A66F2E"/>
    <w:rsid w:val="00A84146"/>
    <w:rsid w:val="00A8585F"/>
    <w:rsid w:val="00A85AB2"/>
    <w:rsid w:val="00AA21ED"/>
    <w:rsid w:val="00AC2CA0"/>
    <w:rsid w:val="00AE4CDF"/>
    <w:rsid w:val="00B11DA5"/>
    <w:rsid w:val="00B344DC"/>
    <w:rsid w:val="00B42237"/>
    <w:rsid w:val="00B6641E"/>
    <w:rsid w:val="00B85072"/>
    <w:rsid w:val="00B87D1E"/>
    <w:rsid w:val="00BD37D4"/>
    <w:rsid w:val="00BE4270"/>
    <w:rsid w:val="00C05216"/>
    <w:rsid w:val="00C3024A"/>
    <w:rsid w:val="00C33937"/>
    <w:rsid w:val="00C517F1"/>
    <w:rsid w:val="00C553D7"/>
    <w:rsid w:val="00C65A29"/>
    <w:rsid w:val="00C7471D"/>
    <w:rsid w:val="00CA1716"/>
    <w:rsid w:val="00CB0306"/>
    <w:rsid w:val="00CB09DB"/>
    <w:rsid w:val="00CB0B8E"/>
    <w:rsid w:val="00CB33C3"/>
    <w:rsid w:val="00CB4656"/>
    <w:rsid w:val="00CD3AAE"/>
    <w:rsid w:val="00CE664A"/>
    <w:rsid w:val="00D0030F"/>
    <w:rsid w:val="00D02354"/>
    <w:rsid w:val="00D102A0"/>
    <w:rsid w:val="00D15D09"/>
    <w:rsid w:val="00D23F64"/>
    <w:rsid w:val="00D353DA"/>
    <w:rsid w:val="00D46117"/>
    <w:rsid w:val="00D52471"/>
    <w:rsid w:val="00D77D02"/>
    <w:rsid w:val="00D8300F"/>
    <w:rsid w:val="00DC7005"/>
    <w:rsid w:val="00DF0C55"/>
    <w:rsid w:val="00DF1676"/>
    <w:rsid w:val="00DF1CB5"/>
    <w:rsid w:val="00E02D99"/>
    <w:rsid w:val="00E0474F"/>
    <w:rsid w:val="00E12EB5"/>
    <w:rsid w:val="00E13BEB"/>
    <w:rsid w:val="00E15105"/>
    <w:rsid w:val="00E36336"/>
    <w:rsid w:val="00E54308"/>
    <w:rsid w:val="00E573B7"/>
    <w:rsid w:val="00E710C8"/>
    <w:rsid w:val="00E74686"/>
    <w:rsid w:val="00EA4083"/>
    <w:rsid w:val="00EC0DA4"/>
    <w:rsid w:val="00ED07A5"/>
    <w:rsid w:val="00ED3630"/>
    <w:rsid w:val="00F16097"/>
    <w:rsid w:val="00F2159B"/>
    <w:rsid w:val="00F232C2"/>
    <w:rsid w:val="00F309E5"/>
    <w:rsid w:val="00F45E5F"/>
    <w:rsid w:val="00F66EAC"/>
    <w:rsid w:val="00F93E35"/>
    <w:rsid w:val="00F947F1"/>
    <w:rsid w:val="00FF5666"/>
    <w:rsid w:val="067DEAED"/>
    <w:rsid w:val="0FDF33DC"/>
    <w:rsid w:val="137EB074"/>
    <w:rsid w:val="13BD7795"/>
    <w:rsid w:val="16FD9C65"/>
    <w:rsid w:val="1AFE27BD"/>
    <w:rsid w:val="1D7FF7BC"/>
    <w:rsid w:val="1DFF2AA9"/>
    <w:rsid w:val="1F23855A"/>
    <w:rsid w:val="1FFE41C5"/>
    <w:rsid w:val="216BF414"/>
    <w:rsid w:val="24FBA7C4"/>
    <w:rsid w:val="2773F975"/>
    <w:rsid w:val="2B395045"/>
    <w:rsid w:val="2BEB303A"/>
    <w:rsid w:val="2D57C030"/>
    <w:rsid w:val="2D7F14F3"/>
    <w:rsid w:val="2F66C810"/>
    <w:rsid w:val="33F58605"/>
    <w:rsid w:val="35ED5D8A"/>
    <w:rsid w:val="35FF0F63"/>
    <w:rsid w:val="35FF92C4"/>
    <w:rsid w:val="36CE8775"/>
    <w:rsid w:val="36F917E8"/>
    <w:rsid w:val="36FF0B72"/>
    <w:rsid w:val="373CC32C"/>
    <w:rsid w:val="373DF7FF"/>
    <w:rsid w:val="37BF6CDA"/>
    <w:rsid w:val="37EF5F23"/>
    <w:rsid w:val="37FB15F2"/>
    <w:rsid w:val="3A2F8753"/>
    <w:rsid w:val="3BBFE890"/>
    <w:rsid w:val="3BDD7CBB"/>
    <w:rsid w:val="3BFBE6CC"/>
    <w:rsid w:val="3D395FE2"/>
    <w:rsid w:val="3DEBB676"/>
    <w:rsid w:val="3DFDC093"/>
    <w:rsid w:val="3E377950"/>
    <w:rsid w:val="3E6F00AA"/>
    <w:rsid w:val="3EEDE026"/>
    <w:rsid w:val="3EFDC796"/>
    <w:rsid w:val="3EFDDB9A"/>
    <w:rsid w:val="3F177B7D"/>
    <w:rsid w:val="3F7BFECC"/>
    <w:rsid w:val="3F7FB402"/>
    <w:rsid w:val="3FBD007B"/>
    <w:rsid w:val="3FDE7921"/>
    <w:rsid w:val="3FE7546B"/>
    <w:rsid w:val="3FFB894E"/>
    <w:rsid w:val="3FFFEBC3"/>
    <w:rsid w:val="43E7A8A0"/>
    <w:rsid w:val="45DB49DE"/>
    <w:rsid w:val="4ADEEFD8"/>
    <w:rsid w:val="4AF388A4"/>
    <w:rsid w:val="4AF74CC6"/>
    <w:rsid w:val="4B619286"/>
    <w:rsid w:val="4CF8A172"/>
    <w:rsid w:val="4DDE4C41"/>
    <w:rsid w:val="4F972D02"/>
    <w:rsid w:val="4F9B3FF1"/>
    <w:rsid w:val="4FD84CA9"/>
    <w:rsid w:val="525E211A"/>
    <w:rsid w:val="52FFA6A1"/>
    <w:rsid w:val="558FF22C"/>
    <w:rsid w:val="57560228"/>
    <w:rsid w:val="576F5FBC"/>
    <w:rsid w:val="577C5C80"/>
    <w:rsid w:val="57FEF257"/>
    <w:rsid w:val="57FF81E1"/>
    <w:rsid w:val="5ADC5655"/>
    <w:rsid w:val="5B55CFC5"/>
    <w:rsid w:val="5B7FA80A"/>
    <w:rsid w:val="5B7FC863"/>
    <w:rsid w:val="5BEBB5FC"/>
    <w:rsid w:val="5BFF090E"/>
    <w:rsid w:val="5BFF5EBF"/>
    <w:rsid w:val="5CFEFBC1"/>
    <w:rsid w:val="5DCDD8D0"/>
    <w:rsid w:val="5DF5B8FC"/>
    <w:rsid w:val="5E7521E0"/>
    <w:rsid w:val="5E7F5C01"/>
    <w:rsid w:val="5EB6F38D"/>
    <w:rsid w:val="5EDA94DC"/>
    <w:rsid w:val="5EEFA2C6"/>
    <w:rsid w:val="5F1FCB18"/>
    <w:rsid w:val="5F7549C5"/>
    <w:rsid w:val="5F779777"/>
    <w:rsid w:val="5F7D9AE2"/>
    <w:rsid w:val="5F7F0482"/>
    <w:rsid w:val="5FEF1041"/>
    <w:rsid w:val="632A2563"/>
    <w:rsid w:val="67A1D64B"/>
    <w:rsid w:val="67FBD275"/>
    <w:rsid w:val="6827C612"/>
    <w:rsid w:val="6BFCB4EF"/>
    <w:rsid w:val="6D7D7615"/>
    <w:rsid w:val="6DDE2679"/>
    <w:rsid w:val="6DFC31A6"/>
    <w:rsid w:val="6E7F9395"/>
    <w:rsid w:val="6EDC8550"/>
    <w:rsid w:val="6EDD6B4F"/>
    <w:rsid w:val="6EF74AD2"/>
    <w:rsid w:val="6FB62835"/>
    <w:rsid w:val="6FBD78B3"/>
    <w:rsid w:val="6FD5D243"/>
    <w:rsid w:val="6FEBCFC8"/>
    <w:rsid w:val="6FEF47A6"/>
    <w:rsid w:val="6FFF0D21"/>
    <w:rsid w:val="6FFFA35A"/>
    <w:rsid w:val="713F3528"/>
    <w:rsid w:val="71B51DFC"/>
    <w:rsid w:val="72FFD210"/>
    <w:rsid w:val="735FEE5E"/>
    <w:rsid w:val="73B764CB"/>
    <w:rsid w:val="73C507AD"/>
    <w:rsid w:val="73DF69FA"/>
    <w:rsid w:val="74EC50F1"/>
    <w:rsid w:val="75E34432"/>
    <w:rsid w:val="75FB73BA"/>
    <w:rsid w:val="75FDFD5B"/>
    <w:rsid w:val="75FE842F"/>
    <w:rsid w:val="76536C86"/>
    <w:rsid w:val="7748CA40"/>
    <w:rsid w:val="777EA790"/>
    <w:rsid w:val="77FFAB2D"/>
    <w:rsid w:val="77FFED0F"/>
    <w:rsid w:val="77FFFA87"/>
    <w:rsid w:val="79144804"/>
    <w:rsid w:val="795B3A5B"/>
    <w:rsid w:val="795DC677"/>
    <w:rsid w:val="7997648F"/>
    <w:rsid w:val="79FDCE52"/>
    <w:rsid w:val="7A7511ED"/>
    <w:rsid w:val="7AFE9C4A"/>
    <w:rsid w:val="7B3F2ABA"/>
    <w:rsid w:val="7B7EE4FA"/>
    <w:rsid w:val="7BA9805E"/>
    <w:rsid w:val="7BDF06B5"/>
    <w:rsid w:val="7BED116C"/>
    <w:rsid w:val="7BF3C16E"/>
    <w:rsid w:val="7BFBE15F"/>
    <w:rsid w:val="7BFD224D"/>
    <w:rsid w:val="7BFF3FEE"/>
    <w:rsid w:val="7D1D09AA"/>
    <w:rsid w:val="7D3D9D5A"/>
    <w:rsid w:val="7D5E266F"/>
    <w:rsid w:val="7D6F0840"/>
    <w:rsid w:val="7D722CF0"/>
    <w:rsid w:val="7D7624FD"/>
    <w:rsid w:val="7D7F33CC"/>
    <w:rsid w:val="7DA74E2E"/>
    <w:rsid w:val="7DBB378A"/>
    <w:rsid w:val="7DDD911D"/>
    <w:rsid w:val="7DE3C046"/>
    <w:rsid w:val="7DEBE19F"/>
    <w:rsid w:val="7DEF3CDB"/>
    <w:rsid w:val="7DEF6F35"/>
    <w:rsid w:val="7DF7B5ED"/>
    <w:rsid w:val="7DFC6819"/>
    <w:rsid w:val="7DFFA61A"/>
    <w:rsid w:val="7E092F98"/>
    <w:rsid w:val="7E77EF8F"/>
    <w:rsid w:val="7EFABC0A"/>
    <w:rsid w:val="7EFE4EC9"/>
    <w:rsid w:val="7F2BD645"/>
    <w:rsid w:val="7F77AF50"/>
    <w:rsid w:val="7F79AE3F"/>
    <w:rsid w:val="7F7A8FB7"/>
    <w:rsid w:val="7F7D214A"/>
    <w:rsid w:val="7F7F9784"/>
    <w:rsid w:val="7F7FD144"/>
    <w:rsid w:val="7F7FEF28"/>
    <w:rsid w:val="7F7FF048"/>
    <w:rsid w:val="7FBDF52E"/>
    <w:rsid w:val="7FBEE5BE"/>
    <w:rsid w:val="7FCA9736"/>
    <w:rsid w:val="7FDF27E6"/>
    <w:rsid w:val="7FED6031"/>
    <w:rsid w:val="7FEFB0BF"/>
    <w:rsid w:val="7FF31289"/>
    <w:rsid w:val="7FF53CF1"/>
    <w:rsid w:val="7FFB4541"/>
    <w:rsid w:val="7FFD0FF0"/>
    <w:rsid w:val="7FFFE4F6"/>
    <w:rsid w:val="7FFFF966"/>
    <w:rsid w:val="975A63D8"/>
    <w:rsid w:val="9CFFB71F"/>
    <w:rsid w:val="9DBFAE92"/>
    <w:rsid w:val="9E7D1D0F"/>
    <w:rsid w:val="9F7FE027"/>
    <w:rsid w:val="A2EDF65A"/>
    <w:rsid w:val="A8FB8BC8"/>
    <w:rsid w:val="AEADEBF2"/>
    <w:rsid w:val="B55C9C77"/>
    <w:rsid w:val="B7F73E21"/>
    <w:rsid w:val="B9727184"/>
    <w:rsid w:val="BBFF4CF1"/>
    <w:rsid w:val="BCF7634B"/>
    <w:rsid w:val="BDCF7CA5"/>
    <w:rsid w:val="BDFB6CAB"/>
    <w:rsid w:val="BDFF0D35"/>
    <w:rsid w:val="BE2B67FF"/>
    <w:rsid w:val="BF3ED0F4"/>
    <w:rsid w:val="BF7F31F5"/>
    <w:rsid w:val="BF9E07A2"/>
    <w:rsid w:val="BFBAAA18"/>
    <w:rsid w:val="BFBF7064"/>
    <w:rsid w:val="BFCA9298"/>
    <w:rsid w:val="BFDB6B83"/>
    <w:rsid w:val="BFFBDA8F"/>
    <w:rsid w:val="BFFF4811"/>
    <w:rsid w:val="C7FBE6E1"/>
    <w:rsid w:val="C8ED343E"/>
    <w:rsid w:val="C8F79537"/>
    <w:rsid w:val="C9D719CE"/>
    <w:rsid w:val="CCF90FF9"/>
    <w:rsid w:val="CD8FE5FD"/>
    <w:rsid w:val="CEFF9120"/>
    <w:rsid w:val="CFDD3E6E"/>
    <w:rsid w:val="CFFA1DCA"/>
    <w:rsid w:val="CFFF5915"/>
    <w:rsid w:val="D1DF06CA"/>
    <w:rsid w:val="D3AB5E78"/>
    <w:rsid w:val="D5FF5FEB"/>
    <w:rsid w:val="D6789C50"/>
    <w:rsid w:val="D75C425F"/>
    <w:rsid w:val="D7B7F53E"/>
    <w:rsid w:val="D9BD4E1B"/>
    <w:rsid w:val="DBBAA34C"/>
    <w:rsid w:val="DBEB55FA"/>
    <w:rsid w:val="DBEE308E"/>
    <w:rsid w:val="DBEFCEB0"/>
    <w:rsid w:val="DBFAA284"/>
    <w:rsid w:val="DC7E6610"/>
    <w:rsid w:val="DCFBE8A0"/>
    <w:rsid w:val="DED9884E"/>
    <w:rsid w:val="DF3D7EB6"/>
    <w:rsid w:val="DF776F02"/>
    <w:rsid w:val="DF7A3151"/>
    <w:rsid w:val="DFB71C49"/>
    <w:rsid w:val="DFBEFD96"/>
    <w:rsid w:val="DFDEC3C1"/>
    <w:rsid w:val="E1ED9EE5"/>
    <w:rsid w:val="E3FFF5E4"/>
    <w:rsid w:val="E4F67A44"/>
    <w:rsid w:val="E53FCD19"/>
    <w:rsid w:val="E6F66FC5"/>
    <w:rsid w:val="E76DB44E"/>
    <w:rsid w:val="E8EDFA88"/>
    <w:rsid w:val="EBEE2144"/>
    <w:rsid w:val="EBF646E9"/>
    <w:rsid w:val="EBFE68FC"/>
    <w:rsid w:val="EC57BB7B"/>
    <w:rsid w:val="EC5AAC27"/>
    <w:rsid w:val="ED5F1EFF"/>
    <w:rsid w:val="ED79546B"/>
    <w:rsid w:val="ED7DB5C5"/>
    <w:rsid w:val="EDFF38F2"/>
    <w:rsid w:val="EE6E6FB4"/>
    <w:rsid w:val="EEBF17A1"/>
    <w:rsid w:val="EEF243BF"/>
    <w:rsid w:val="EF3775A3"/>
    <w:rsid w:val="EF5634D6"/>
    <w:rsid w:val="EF5F2420"/>
    <w:rsid w:val="EFBB1A68"/>
    <w:rsid w:val="EFE7D560"/>
    <w:rsid w:val="F0B6C5F1"/>
    <w:rsid w:val="F0FD7332"/>
    <w:rsid w:val="F13BDDFC"/>
    <w:rsid w:val="F1762981"/>
    <w:rsid w:val="F32FE681"/>
    <w:rsid w:val="F37ED889"/>
    <w:rsid w:val="F57DE263"/>
    <w:rsid w:val="F5C14A16"/>
    <w:rsid w:val="F5E584AE"/>
    <w:rsid w:val="F5F706E8"/>
    <w:rsid w:val="F5FF3568"/>
    <w:rsid w:val="F65F711C"/>
    <w:rsid w:val="F77F688D"/>
    <w:rsid w:val="F7BF161D"/>
    <w:rsid w:val="F7BF7A5D"/>
    <w:rsid w:val="F7D42184"/>
    <w:rsid w:val="F7DF97AF"/>
    <w:rsid w:val="F7F99E87"/>
    <w:rsid w:val="F7FD7BD5"/>
    <w:rsid w:val="F7FD86AF"/>
    <w:rsid w:val="F7FF52EE"/>
    <w:rsid w:val="F91F661B"/>
    <w:rsid w:val="F97305AA"/>
    <w:rsid w:val="F9BC83D9"/>
    <w:rsid w:val="F9BF67E2"/>
    <w:rsid w:val="FA5A54C7"/>
    <w:rsid w:val="FAF7D568"/>
    <w:rsid w:val="FB1F1024"/>
    <w:rsid w:val="FB7F74FF"/>
    <w:rsid w:val="FBDD00F2"/>
    <w:rsid w:val="FBEF787E"/>
    <w:rsid w:val="FBFC8D8A"/>
    <w:rsid w:val="FBFFB89C"/>
    <w:rsid w:val="FCBE2370"/>
    <w:rsid w:val="FD3F6B6B"/>
    <w:rsid w:val="FD4FADF5"/>
    <w:rsid w:val="FD504FD3"/>
    <w:rsid w:val="FD77B71A"/>
    <w:rsid w:val="FDDB3B24"/>
    <w:rsid w:val="FDDEA5A8"/>
    <w:rsid w:val="FDF70169"/>
    <w:rsid w:val="FDFF95DE"/>
    <w:rsid w:val="FE04A49E"/>
    <w:rsid w:val="FE739E3B"/>
    <w:rsid w:val="FEFFF3B1"/>
    <w:rsid w:val="FF2F807A"/>
    <w:rsid w:val="FF3D39D1"/>
    <w:rsid w:val="FF3DEEBB"/>
    <w:rsid w:val="FF3FC4D1"/>
    <w:rsid w:val="FF7B61F0"/>
    <w:rsid w:val="FF928C09"/>
    <w:rsid w:val="FF9F1A28"/>
    <w:rsid w:val="FFCD3FA3"/>
    <w:rsid w:val="FFD30A06"/>
    <w:rsid w:val="FFD5E0CA"/>
    <w:rsid w:val="FFDEC91E"/>
    <w:rsid w:val="FFE5AD2F"/>
    <w:rsid w:val="FFEB8EB9"/>
    <w:rsid w:val="FFF3BFEC"/>
    <w:rsid w:val="FFF4153A"/>
    <w:rsid w:val="FFF47216"/>
    <w:rsid w:val="FFF73572"/>
    <w:rsid w:val="FFF96BB3"/>
    <w:rsid w:val="FFFDE010"/>
    <w:rsid w:val="FFFF680D"/>
    <w:rsid w:val="FFFF76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4">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qFormat/>
    <w:uiPriority w:val="0"/>
  </w:style>
  <w:style w:type="table" w:default="1" w:styleId="11">
    <w:name w:val="Normal Table"/>
    <w:semiHidden/>
    <w:qFormat/>
    <w:uiPriority w:val="0"/>
    <w:tblPr>
      <w:tblStyle w:val="11"/>
      <w:tblCellMar>
        <w:top w:w="0" w:type="dxa"/>
        <w:left w:w="108" w:type="dxa"/>
        <w:bottom w:w="0" w:type="dxa"/>
        <w:right w:w="108" w:type="dxa"/>
      </w:tblCellMar>
    </w:tblPr>
  </w:style>
  <w:style w:type="paragraph" w:customStyle="1" w:styleId="2">
    <w:name w:val="Body Text First Indent_e280adea-b6bb-46b3-96a7-a31a261f262e"/>
    <w:basedOn w:val="3"/>
    <w:qFormat/>
    <w:uiPriority w:val="0"/>
    <w:pPr>
      <w:spacing w:before="100" w:beforeAutospacing="1"/>
      <w:ind w:firstLine="420"/>
    </w:pPr>
    <w:rPr>
      <w:rFonts w:ascii="Times New Roman" w:hAnsi="Times New Roman"/>
      <w:bCs/>
    </w:rPr>
  </w:style>
  <w:style w:type="paragraph" w:styleId="3">
    <w:name w:val="Body Text"/>
    <w:basedOn w:val="1"/>
    <w:next w:val="1"/>
    <w:link w:val="14"/>
    <w:uiPriority w:val="0"/>
    <w:pPr>
      <w:spacing w:after="120"/>
    </w:pPr>
  </w:style>
  <w:style w:type="paragraph" w:styleId="5">
    <w:name w:val="Plain Text"/>
    <w:basedOn w:val="1"/>
    <w:qFormat/>
    <w:uiPriority w:val="0"/>
    <w:rPr>
      <w:rFonts w:ascii="宋体" w:hAnsi="Courier New"/>
    </w:rPr>
  </w:style>
  <w:style w:type="paragraph" w:styleId="6">
    <w:name w:val="Body Text Indent 2"/>
    <w:basedOn w:val="1"/>
    <w:link w:val="15"/>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1"/>
    <w:next w:val="6"/>
    <w:link w:val="16"/>
    <w:qFormat/>
    <w:uiPriority w:val="0"/>
    <w:pPr>
      <w:spacing w:after="120"/>
      <w:ind w:firstLine="420" w:firstLineChars="100"/>
    </w:pPr>
  </w:style>
  <w:style w:type="table" w:styleId="12">
    <w:name w:val="Table Grid"/>
    <w:basedOn w:val="11"/>
    <w:qFormat/>
    <w:uiPriority w:val="0"/>
    <w:pPr>
      <w:widowControl w:val="0"/>
      <w:jc w:val="both"/>
    </w:pPr>
    <w:tblPr>
      <w:tblStyle w:val="1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正文文本 字符"/>
    <w:link w:val="3"/>
    <w:uiPriority w:val="0"/>
    <w:rPr>
      <w:kern w:val="2"/>
      <w:sz w:val="21"/>
      <w:szCs w:val="24"/>
    </w:rPr>
  </w:style>
  <w:style w:type="character" w:customStyle="1" w:styleId="15">
    <w:name w:val="正文文本缩进 2 字符"/>
    <w:link w:val="6"/>
    <w:uiPriority w:val="0"/>
    <w:rPr>
      <w:kern w:val="2"/>
      <w:sz w:val="21"/>
      <w:szCs w:val="24"/>
    </w:rPr>
  </w:style>
  <w:style w:type="character" w:customStyle="1" w:styleId="16">
    <w:name w:val="正文文本首行缩进 字符"/>
    <w:link w:val="10"/>
    <w:uiPriority w:val="0"/>
  </w:style>
  <w:style w:type="paragraph" w:customStyle="1" w:styleId="17">
    <w:name w:val="1.正文"/>
    <w:basedOn w:val="1"/>
    <w:qFormat/>
    <w:uiPriority w:val="99"/>
    <w:rPr>
      <w:rFonts w:hAnsi="Times New Roman"/>
    </w:rPr>
  </w:style>
  <w:style w:type="character" w:customStyle="1" w:styleId="18">
    <w:name w:val="NormalCharacter"/>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14</Pages>
  <Words>1029</Words>
  <Characters>5871</Characters>
  <Lines>48</Lines>
  <Paragraphs>13</Paragraphs>
  <TotalTime>24.3333333333333</TotalTime>
  <ScaleCrop>false</ScaleCrop>
  <LinksUpToDate>false</LinksUpToDate>
  <CharactersWithSpaces>6887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2024-02-21T10:50:00Z</dcterms:created>
  <dc:creator>huanghe</dc:creator>
  <cp:lastModifiedBy>李越</cp:lastModifiedBy>
  <cp:lastPrinted>2024-02-22T09:11:00Z</cp:lastPrinted>
  <dcterms:modified xsi:type="dcterms:W3CDTF">2024-04-03T03:29:35Z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4BC2AFBEAC674D3F9197D6BA4500A133_13</vt:lpwstr>
  </property>
</Properties>
</file>